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firstLine="0" w:firstLineChars="0"/>
        <w:rPr>
          <w:rFonts w:hint="eastAsia" w:ascii="方正黑体_GBK" w:hAnsi="方正黑体_GBK" w:eastAsia="方正黑体_GBK" w:cs="方正黑体_GBK"/>
          <w:sz w:val="44"/>
          <w:szCs w:val="44"/>
          <w:lang w:val="en-US"/>
        </w:rPr>
      </w:pPr>
      <w:r>
        <w:rPr>
          <w:rFonts w:hint="eastAsia" w:ascii="方正黑体_GBK" w:hAnsi="方正黑体_GBK" w:eastAsia="方正黑体_GBK" w:cs="方正黑体_GBK"/>
        </w:rPr>
        <w:t>附件</w:t>
      </w:r>
    </w:p>
    <w:p>
      <w:pPr>
        <w:spacing w:line="530" w:lineRule="exact"/>
      </w:pPr>
    </w:p>
    <w:p>
      <w:pPr>
        <w:overflowPunct w:val="0"/>
        <w:snapToGrid w:val="0"/>
        <w:spacing w:line="560" w:lineRule="exact"/>
        <w:contextualSpacing/>
        <w:jc w:val="center"/>
        <w:rPr>
          <w:rFonts w:hint="eastAsia" w:ascii="方正小标宋_GBK" w:hAnsi="方正小标宋_GBK" w:eastAsia="方正小标宋_GBK" w:cs="方正小标宋_GBK"/>
          <w:spacing w:val="-10"/>
          <w:kern w:val="28"/>
          <w:sz w:val="44"/>
          <w:szCs w:val="44"/>
        </w:rPr>
      </w:pPr>
      <w:r>
        <w:rPr>
          <w:rFonts w:hint="eastAsia" w:ascii="方正小标宋_GBK" w:hAnsi="方正小标宋_GBK" w:eastAsia="方正小标宋_GBK" w:cs="方正小标宋_GBK"/>
          <w:spacing w:val="-10"/>
          <w:kern w:val="28"/>
          <w:sz w:val="44"/>
          <w:szCs w:val="44"/>
        </w:rPr>
        <w:t>关于进一步用好腾冲科学家论坛资源</w:t>
      </w:r>
    </w:p>
    <w:p>
      <w:pPr>
        <w:overflowPunct w:val="0"/>
        <w:snapToGrid w:val="0"/>
        <w:spacing w:line="560" w:lineRule="exact"/>
        <w:contextualSpacing/>
        <w:jc w:val="center"/>
        <w:rPr>
          <w:rFonts w:hint="eastAsia" w:ascii="方正小标宋_GBK" w:hAnsi="方正小标宋_GBK" w:eastAsia="方正小标宋_GBK" w:cs="方正小标宋_GBK"/>
          <w:spacing w:val="-10"/>
          <w:kern w:val="28"/>
          <w:sz w:val="44"/>
          <w:szCs w:val="44"/>
        </w:rPr>
      </w:pPr>
      <w:r>
        <w:rPr>
          <w:rFonts w:hint="eastAsia" w:ascii="方正小标宋_GBK" w:hAnsi="方正小标宋_GBK" w:eastAsia="方正小标宋_GBK" w:cs="方正小标宋_GBK"/>
          <w:spacing w:val="-10"/>
          <w:kern w:val="28"/>
          <w:sz w:val="44"/>
          <w:szCs w:val="44"/>
        </w:rPr>
        <w:t>服务全省高质量发展的措施</w:t>
      </w:r>
    </w:p>
    <w:p>
      <w:pPr>
        <w:overflowPunct w:val="0"/>
        <w:snapToGrid w:val="0"/>
        <w:spacing w:line="560" w:lineRule="exact"/>
        <w:ind w:firstLine="640" w:firstLineChars="200"/>
        <w:jc w:val="center"/>
        <w:rPr>
          <w:rFonts w:ascii="Times New Roman" w:hAnsi="Times New Roman" w:eastAsia="方正仿宋_GBK"/>
          <w:sz w:val="32"/>
          <w:szCs w:val="32"/>
        </w:rPr>
      </w:pPr>
      <w:r>
        <w:rPr>
          <w:rFonts w:hint="eastAsia" w:ascii="Times New Roman" w:hAnsi="Times New Roman" w:eastAsia="方正仿宋_GBK"/>
          <w:sz w:val="32"/>
          <w:szCs w:val="32"/>
        </w:rPr>
        <w:t>（征求意见稿）</w:t>
      </w:r>
    </w:p>
    <w:p>
      <w:pPr>
        <w:overflowPunct w:val="0"/>
        <w:snapToGrid w:val="0"/>
        <w:spacing w:line="560" w:lineRule="exact"/>
        <w:ind w:firstLine="640" w:firstLineChars="200"/>
        <w:rPr>
          <w:rFonts w:ascii="Times New Roman" w:hAnsi="Times New Roman" w:eastAsia="方正仿宋_GBK"/>
          <w:sz w:val="32"/>
          <w:szCs w:val="32"/>
        </w:rPr>
      </w:pPr>
    </w:p>
    <w:p>
      <w:pPr>
        <w:overflowPunct w:val="0"/>
        <w:snapToGrid w:val="0"/>
        <w:spacing w:line="580" w:lineRule="atLeast"/>
        <w:ind w:firstLine="640" w:firstLineChars="200"/>
        <w:rPr>
          <w:rFonts w:ascii="Times New Roman" w:hAnsi="Times New Roman" w:eastAsia="方正仿宋_GBK"/>
          <w:sz w:val="32"/>
          <w:szCs w:val="32"/>
        </w:rPr>
      </w:pPr>
      <w:r>
        <w:rPr>
          <w:rFonts w:ascii="Times New Roman" w:hAnsi="Times New Roman" w:eastAsia="方正仿宋_GBK"/>
          <w:sz w:val="32"/>
          <w:szCs w:val="32"/>
        </w:rPr>
        <w:t>为持续办好腾冲科学家论坛，</w:t>
      </w:r>
      <w:r>
        <w:rPr>
          <w:rFonts w:hint="eastAsia" w:ascii="Times New Roman" w:hAnsi="Times New Roman" w:eastAsia="方正仿宋_GBK"/>
          <w:sz w:val="32"/>
          <w:szCs w:val="32"/>
        </w:rPr>
        <w:t>充分发挥</w:t>
      </w:r>
      <w:r>
        <w:rPr>
          <w:rFonts w:ascii="Times New Roman" w:hAnsi="Times New Roman" w:eastAsia="方正仿宋_GBK"/>
          <w:sz w:val="32"/>
          <w:szCs w:val="32"/>
        </w:rPr>
        <w:t>论坛</w:t>
      </w:r>
      <w:r>
        <w:rPr>
          <w:rFonts w:hint="eastAsia" w:ascii="Times New Roman" w:hAnsi="Times New Roman" w:eastAsia="方正仿宋_GBK"/>
          <w:sz w:val="32"/>
          <w:szCs w:val="32"/>
        </w:rPr>
        <w:t>的</w:t>
      </w:r>
      <w:r>
        <w:rPr>
          <w:rFonts w:ascii="Times New Roman" w:hAnsi="Times New Roman" w:eastAsia="方正仿宋_GBK"/>
          <w:sz w:val="32"/>
          <w:szCs w:val="32"/>
        </w:rPr>
        <w:t>辐射力、影响力</w:t>
      </w:r>
      <w:r>
        <w:rPr>
          <w:rFonts w:hint="eastAsia" w:ascii="Times New Roman" w:hAnsi="Times New Roman" w:eastAsia="方正仿宋_GBK"/>
          <w:sz w:val="32"/>
          <w:szCs w:val="32"/>
        </w:rPr>
        <w:t>和</w:t>
      </w:r>
      <w:r>
        <w:rPr>
          <w:rFonts w:ascii="Times New Roman" w:hAnsi="Times New Roman" w:eastAsia="方正仿宋_GBK"/>
          <w:sz w:val="32"/>
          <w:szCs w:val="32"/>
        </w:rPr>
        <w:t>带动力，</w:t>
      </w:r>
      <w:r>
        <w:rPr>
          <w:rFonts w:hint="eastAsia" w:ascii="Times New Roman" w:hAnsi="Times New Roman" w:eastAsia="方正仿宋_GBK"/>
          <w:sz w:val="32"/>
          <w:szCs w:val="32"/>
        </w:rPr>
        <w:t>推动国内外创新资源在云南落地转化，</w:t>
      </w:r>
      <w:r>
        <w:rPr>
          <w:rFonts w:ascii="Times New Roman" w:hAnsi="Times New Roman" w:eastAsia="方正仿宋_GBK"/>
          <w:sz w:val="32"/>
          <w:szCs w:val="32"/>
        </w:rPr>
        <w:t>制定</w:t>
      </w:r>
      <w:r>
        <w:rPr>
          <w:rFonts w:hint="eastAsia" w:ascii="Times New Roman" w:hAnsi="Times New Roman" w:eastAsia="方正仿宋_GBK"/>
          <w:sz w:val="32"/>
          <w:szCs w:val="32"/>
        </w:rPr>
        <w:t>以下措施</w:t>
      </w:r>
      <w:r>
        <w:rPr>
          <w:rFonts w:ascii="Times New Roman" w:hAnsi="Times New Roman" w:eastAsia="方正仿宋_GBK"/>
          <w:sz w:val="32"/>
          <w:szCs w:val="32"/>
        </w:rPr>
        <w:t>。</w:t>
      </w:r>
    </w:p>
    <w:p>
      <w:pPr>
        <w:overflowPunct w:val="0"/>
        <w:snapToGrid w:val="0"/>
        <w:spacing w:line="580" w:lineRule="atLeas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一、构建高效供需对接机制</w:t>
      </w:r>
    </w:p>
    <w:p>
      <w:pPr>
        <w:overflowPunct w:val="0"/>
        <w:snapToGrid w:val="0"/>
        <w:spacing w:line="580" w:lineRule="atLeast"/>
        <w:ind w:firstLine="640" w:firstLineChars="200"/>
        <w:rPr>
          <w:rFonts w:ascii="Times New Roman" w:hAnsi="Times New Roman" w:eastAsia="方正仿宋_GBK"/>
          <w:sz w:val="32"/>
          <w:szCs w:val="32"/>
        </w:rPr>
      </w:pPr>
      <w:r>
        <w:rPr>
          <w:rFonts w:ascii="Times New Roman" w:hAnsi="Times New Roman" w:eastAsia="方正仿宋_GBK"/>
          <w:sz w:val="32"/>
          <w:szCs w:val="32"/>
        </w:rPr>
        <w:t>牢固树立问题导向、需求导向，</w:t>
      </w:r>
      <w:r>
        <w:rPr>
          <w:rFonts w:hint="eastAsia" w:ascii="Times New Roman" w:hAnsi="Times New Roman" w:eastAsia="方正仿宋_GBK"/>
          <w:sz w:val="32"/>
          <w:szCs w:val="32"/>
        </w:rPr>
        <w:t>通过定期召开工作例会，制定印发</w:t>
      </w:r>
      <w:r>
        <w:rPr>
          <w:rFonts w:ascii="Times New Roman" w:hAnsi="Times New Roman" w:eastAsia="方正仿宋_GBK"/>
          <w:sz w:val="32"/>
          <w:szCs w:val="32"/>
        </w:rPr>
        <w:t>各州市、园区、院所、企业</w:t>
      </w:r>
      <w:r>
        <w:rPr>
          <w:rFonts w:hint="eastAsia" w:ascii="Times New Roman" w:hAnsi="Times New Roman" w:eastAsia="方正仿宋_GBK"/>
          <w:sz w:val="32"/>
          <w:szCs w:val="32"/>
        </w:rPr>
        <w:t>论坛和系列活动需求征集表、嘉宾邀请需求信息表、双招双引需求情况表，常年开展人才、项目、成果需求的挖掘；加快构建</w:t>
      </w:r>
      <w:r>
        <w:rPr>
          <w:rFonts w:ascii="Times New Roman" w:hAnsi="Times New Roman" w:eastAsia="方正仿宋_GBK"/>
          <w:sz w:val="32"/>
          <w:szCs w:val="32"/>
        </w:rPr>
        <w:t>以</w:t>
      </w:r>
      <w:r>
        <w:rPr>
          <w:rFonts w:hint="eastAsia" w:ascii="方正仿宋_GBK" w:hAnsi="方正仿宋_GBK" w:eastAsia="方正仿宋_GBK" w:cs="方正仿宋_GBK"/>
          <w:sz w:val="32"/>
          <w:szCs w:val="32"/>
        </w:rPr>
        <w:t>“用”</w:t>
      </w:r>
      <w:r>
        <w:rPr>
          <w:rFonts w:ascii="Times New Roman" w:hAnsi="Times New Roman" w:eastAsia="方正仿宋_GBK"/>
          <w:sz w:val="32"/>
          <w:szCs w:val="32"/>
        </w:rPr>
        <w:t>为导向的科技创新供应链平台，加强</w:t>
      </w:r>
      <w:r>
        <w:rPr>
          <w:rFonts w:hint="eastAsia" w:ascii="Times New Roman" w:hAnsi="Times New Roman" w:eastAsia="方正仿宋_GBK"/>
          <w:sz w:val="32"/>
          <w:szCs w:val="32"/>
        </w:rPr>
        <w:t>院士专家库、论坛资源数据库、企业需求资源库，</w:t>
      </w:r>
      <w:r>
        <w:rPr>
          <w:rFonts w:ascii="Times New Roman" w:hAnsi="Times New Roman" w:eastAsia="方正仿宋_GBK"/>
          <w:sz w:val="32"/>
          <w:szCs w:val="32"/>
        </w:rPr>
        <w:t>专业化、特色化、精细化建设</w:t>
      </w:r>
      <w:r>
        <w:rPr>
          <w:rFonts w:hint="eastAsia" w:ascii="Times New Roman" w:hAnsi="Times New Roman" w:eastAsia="方正仿宋_GBK"/>
          <w:sz w:val="32"/>
          <w:szCs w:val="32"/>
        </w:rPr>
        <w:t>；充分运用官网、微信公众号及微博等传播平台，及时发布需求，强化论坛资源转化、人才引进等品牌宣传；建立和完善供需对接反馈制度和资源转化质量评价制度，制定实施细则，强化刚性约束，形成供需有效对接的长效机制。</w:t>
      </w:r>
    </w:p>
    <w:p>
      <w:pPr>
        <w:overflowPunct w:val="0"/>
        <w:snapToGrid w:val="0"/>
        <w:spacing w:line="580" w:lineRule="atLeas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二、推动全球科技机构来滇发展</w:t>
      </w:r>
    </w:p>
    <w:p>
      <w:pPr>
        <w:overflowPunct w:val="0"/>
        <w:snapToGrid w:val="0"/>
        <w:spacing w:line="580" w:lineRule="atLeas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推动</w:t>
      </w:r>
      <w:r>
        <w:rPr>
          <w:rFonts w:hint="eastAsia" w:ascii="Times New Roman" w:hAnsi="Times New Roman" w:eastAsia="方正仿宋_GBK"/>
          <w:sz w:val="32"/>
          <w:szCs w:val="32"/>
          <w:lang w:bidi="ar"/>
        </w:rPr>
        <w:t>参与论坛的国内外大学、科研机构、企业等</w:t>
      </w:r>
      <w:r>
        <w:rPr>
          <w:rFonts w:hint="eastAsia" w:ascii="Times New Roman" w:hAnsi="Times New Roman" w:eastAsia="方正仿宋_GBK"/>
          <w:sz w:val="32"/>
          <w:szCs w:val="32"/>
        </w:rPr>
        <w:t>来滇发展，对设立分支机构、区域研发中心或区域总部的，优先保障研发、生产等合理用地、用能、用工等需求，探索“带方案供应”用地等改革措施；</w:t>
      </w:r>
      <w:r>
        <w:rPr>
          <w:rFonts w:hint="eastAsia" w:ascii="Times New Roman" w:hAnsi="Times New Roman" w:eastAsia="方正仿宋_GBK"/>
          <w:sz w:val="32"/>
          <w:szCs w:val="32"/>
          <w:lang w:bidi="ar"/>
        </w:rPr>
        <w:t>与</w:t>
      </w:r>
      <w:r>
        <w:rPr>
          <w:rFonts w:hint="eastAsia" w:ascii="Times New Roman" w:hAnsi="Times New Roman" w:eastAsia="方正仿宋_GBK"/>
          <w:sz w:val="32"/>
          <w:szCs w:val="32"/>
        </w:rPr>
        <w:t>省内高校院所、企业等联合共建重点实验室、技术创新中心、临床医学研究中心等各类创新平台的，根据功能定位、研究领域、建设目标、发展需求等给予建设和运营经费支持；与省内创新主体设立联合研究院</w:t>
      </w:r>
      <w:bookmarkStart w:id="0" w:name="_GoBack"/>
      <w:bookmarkEnd w:id="0"/>
      <w:r>
        <w:rPr>
          <w:rFonts w:hint="eastAsia" w:ascii="Times New Roman" w:hAnsi="Times New Roman" w:eastAsia="方正仿宋_GBK"/>
          <w:sz w:val="32"/>
          <w:szCs w:val="32"/>
        </w:rPr>
        <w:t>，纳入新型研发机构清单管理，评估为优秀的，</w:t>
      </w:r>
      <w:r>
        <w:rPr>
          <w:rFonts w:hint="eastAsia" w:ascii="Times New Roman" w:hAnsi="Times New Roman" w:eastAsia="方正仿宋_GBK"/>
          <w:color w:val="auto"/>
          <w:sz w:val="32"/>
          <w:szCs w:val="32"/>
        </w:rPr>
        <w:t>给予一次性最高</w:t>
      </w:r>
      <w:r>
        <w:rPr>
          <w:rFonts w:ascii="Times New Roman" w:hAnsi="Times New Roman" w:eastAsia="方正仿宋_GBK"/>
          <w:color w:val="auto"/>
          <w:sz w:val="32"/>
          <w:szCs w:val="32"/>
        </w:rPr>
        <w:t>1000</w:t>
      </w:r>
      <w:r>
        <w:rPr>
          <w:rFonts w:hint="eastAsia" w:ascii="Times New Roman" w:hAnsi="Times New Roman" w:eastAsia="方正仿宋_GBK"/>
          <w:color w:val="auto"/>
          <w:sz w:val="32"/>
          <w:szCs w:val="32"/>
        </w:rPr>
        <w:t>万元奖补</w:t>
      </w:r>
      <w:r>
        <w:rPr>
          <w:rFonts w:hint="eastAsia" w:ascii="Times New Roman" w:hAnsi="Times New Roman" w:eastAsia="方正仿宋_GBK"/>
          <w:sz w:val="32"/>
          <w:szCs w:val="32"/>
        </w:rPr>
        <w:t>。</w:t>
      </w:r>
    </w:p>
    <w:p>
      <w:pPr>
        <w:overflowPunct w:val="0"/>
        <w:snapToGrid w:val="0"/>
        <w:spacing w:line="580" w:lineRule="atLeas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三、促进海内外人才来滇创新创业</w:t>
      </w:r>
    </w:p>
    <w:p>
      <w:pPr>
        <w:overflowPunct w:val="0"/>
        <w:snapToGrid w:val="0"/>
        <w:spacing w:line="580" w:lineRule="atLeas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促进</w:t>
      </w:r>
      <w:r>
        <w:rPr>
          <w:rFonts w:hint="eastAsia" w:ascii="Times New Roman" w:hAnsi="Times New Roman" w:eastAsia="方正仿宋_GBK"/>
          <w:sz w:val="32"/>
          <w:szCs w:val="32"/>
          <w:lang w:bidi="ar"/>
        </w:rPr>
        <w:t>参与论坛的人才团队与云南本土机构合作，</w:t>
      </w:r>
      <w:r>
        <w:rPr>
          <w:rFonts w:hint="eastAsia" w:ascii="Times New Roman" w:hAnsi="Times New Roman" w:eastAsia="方正仿宋_GBK"/>
          <w:sz w:val="32"/>
          <w:szCs w:val="32"/>
        </w:rPr>
        <w:t>开展面向合成生物、新型储能、先进材料、绿色能源、卫星应用、商用密码、量子技术、人工智能、低空经济、氢能源、人形机器人、数字农业、种子种业、动植物跨境疫病防控、生物入侵等战略新兴产业和未来产业的前沿技术研究，以及跨领域基础研究和颠覆性技术攻关，对获国家立项支持的，</w:t>
      </w:r>
      <w:r>
        <w:rPr>
          <w:rFonts w:hint="eastAsia" w:ascii="Times New Roman" w:hAnsi="Times New Roman" w:eastAsia="方正仿宋_GBK"/>
          <w:sz w:val="32"/>
          <w:szCs w:val="32"/>
          <w:lang w:eastAsia="zh-CN"/>
        </w:rPr>
        <w:t>给予配套补助。</w:t>
      </w:r>
      <w:r>
        <w:rPr>
          <w:rFonts w:hint="eastAsia" w:ascii="Times New Roman" w:hAnsi="Times New Roman" w:eastAsia="方正仿宋_GBK"/>
          <w:color w:val="auto"/>
          <w:sz w:val="32"/>
          <w:szCs w:val="32"/>
        </w:rPr>
        <w:t>对推荐海内外人才来滇创业就业，每入选</w:t>
      </w:r>
      <w:r>
        <w:rPr>
          <w:rFonts w:ascii="Times New Roman" w:hAnsi="Times New Roman" w:eastAsia="方正仿宋_GBK"/>
          <w:color w:val="auto"/>
          <w:sz w:val="32"/>
          <w:szCs w:val="32"/>
        </w:rPr>
        <w:t>1</w:t>
      </w:r>
      <w:r>
        <w:rPr>
          <w:rFonts w:hint="eastAsia" w:ascii="Times New Roman" w:hAnsi="Times New Roman" w:eastAsia="方正仿宋_GBK"/>
          <w:color w:val="auto"/>
          <w:sz w:val="32"/>
          <w:szCs w:val="32"/>
        </w:rPr>
        <w:t>人（团队），给予</w:t>
      </w:r>
      <w:r>
        <w:rPr>
          <w:rFonts w:ascii="Times New Roman" w:hAnsi="Times New Roman" w:eastAsia="方正仿宋_GBK"/>
          <w:color w:val="auto"/>
          <w:sz w:val="32"/>
          <w:szCs w:val="32"/>
        </w:rPr>
        <w:t>10</w:t>
      </w:r>
      <w:r>
        <w:rPr>
          <w:rFonts w:hint="eastAsia" w:ascii="Times New Roman" w:hAnsi="Times New Roman" w:eastAsia="方正仿宋_GBK"/>
          <w:color w:val="auto"/>
          <w:sz w:val="32"/>
          <w:szCs w:val="32"/>
        </w:rPr>
        <w:t>万元奖励。</w:t>
      </w:r>
      <w:r>
        <w:rPr>
          <w:rFonts w:hint="eastAsia" w:ascii="Times New Roman" w:hAnsi="Times New Roman" w:eastAsia="方正仿宋_GBK"/>
          <w:sz w:val="32"/>
          <w:szCs w:val="32"/>
        </w:rPr>
        <w:t>支持持有永久居留身份证的外籍人才牵头承担省级科技计划项目、担任新型研发机构法定代表人，创办科技型企业享受同等国民待遇。</w:t>
      </w:r>
    </w:p>
    <w:p>
      <w:pPr>
        <w:overflowPunct w:val="0"/>
        <w:snapToGrid w:val="0"/>
        <w:spacing w:line="580" w:lineRule="atLeas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四、搭建论坛成果交易平台</w:t>
      </w:r>
    </w:p>
    <w:p>
      <w:pPr>
        <w:overflowPunct w:val="0"/>
        <w:snapToGrid w:val="0"/>
        <w:spacing w:line="580" w:lineRule="atLeas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支持国际一流专业科技服务机构利用论坛成果交易平台，常态化采集市场主体需求和供给信息，开展技术成果供需对接，形成线上线下互动机制，对促成科技成果转化并实际落地产生效益的，按技术合同实际成交金额的3%给予奖补，每家每年不超过100万元补助，关联技术交易除外。支持企业通过论坛成果交易平台购买国内外高等院校、科研院所、医疗卫生机构、新型研发机构等单位的科技成果转化，经技术合同认定登记，按成交实际到账额的20%给予单个项目不超过100万元、每家企业每年不超过300万元补助。</w:t>
      </w:r>
    </w:p>
    <w:p>
      <w:pPr>
        <w:overflowPunct w:val="0"/>
        <w:snapToGrid w:val="0"/>
        <w:spacing w:line="580" w:lineRule="atLeas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五、鼓励论坛嘉宾携科技成果来滇为滇转化</w:t>
      </w:r>
    </w:p>
    <w:p>
      <w:pPr>
        <w:overflowPunct w:val="0"/>
        <w:snapToGrid w:val="0"/>
        <w:spacing w:line="580" w:lineRule="atLeas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鼓励论坛嘉宾携科技成果来滇落地转化，经技术合同认定登记，按成交实际到账额的20%给予单个项目不超过50万元、每家单位每年不超过300万元补助。对论坛嘉宾携带具有自主知识产权创办、领办科技企业的，给予不超过50万元补助。对在国内外有重大影响力、拥有颠覆性技术的科研团队创办科技型企业的，可采取“一事一议”方式给予支持。</w:t>
      </w:r>
    </w:p>
    <w:p>
      <w:pPr>
        <w:overflowPunct w:val="0"/>
        <w:snapToGrid w:val="0"/>
        <w:spacing w:line="580" w:lineRule="atLeas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六、设立腾冲科学家论坛基金</w:t>
      </w:r>
    </w:p>
    <w:p>
      <w:pPr>
        <w:overflowPunct w:val="0"/>
        <w:snapToGrid w:val="0"/>
        <w:spacing w:line="580" w:lineRule="atLeas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通过股权投资等方式带动国内外机构及科研团队携科研成果、创业项目来滇落地。建立被投企业及拟投科技项目储备库，引导商业银行、创投机构针对重点企业、重点项目开发专项融资产品，通过“贷款+外部直投”等模式，为企业提供长周期、低成本金融支持。实施“科技产业金融一体化”专项行动，通过创新创业大赛、公开路演平台等，为境内外机构挖掘和评估初创期科技型企业提供专业化服务。</w:t>
      </w:r>
    </w:p>
    <w:p>
      <w:pPr>
        <w:overflowPunct w:val="0"/>
        <w:snapToGrid w:val="0"/>
        <w:spacing w:line="580" w:lineRule="atLeas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七、支持创新主体引进使用海内外人才</w:t>
      </w:r>
    </w:p>
    <w:p>
      <w:pPr>
        <w:overflowPunct w:val="0"/>
        <w:snapToGrid w:val="0"/>
        <w:spacing w:line="580" w:lineRule="atLeast"/>
        <w:ind w:firstLine="640" w:firstLineChars="200"/>
        <w:rPr>
          <w:rFonts w:ascii="Times New Roman" w:hAnsi="Times New Roman" w:eastAsia="方正仿宋_GBK"/>
          <w:sz w:val="32"/>
          <w:szCs w:val="32"/>
        </w:rPr>
      </w:pPr>
      <w:r>
        <w:rPr>
          <w:rFonts w:hint="eastAsia" w:ascii="Times New Roman" w:hAnsi="Times New Roman" w:eastAsia="方正仿宋_GBK"/>
          <w:color w:val="auto"/>
          <w:sz w:val="32"/>
          <w:szCs w:val="32"/>
          <w:lang w:eastAsia="zh-CN"/>
        </w:rPr>
        <w:t>探索</w:t>
      </w:r>
      <w:r>
        <w:rPr>
          <w:rFonts w:hint="eastAsia" w:ascii="Times New Roman" w:hAnsi="Times New Roman" w:eastAsia="方正仿宋_GBK"/>
          <w:color w:val="auto"/>
          <w:sz w:val="32"/>
          <w:szCs w:val="32"/>
        </w:rPr>
        <w:t>建立绿色通道，</w:t>
      </w:r>
      <w:r>
        <w:rPr>
          <w:rFonts w:hint="eastAsia" w:ascii="Times New Roman" w:hAnsi="Times New Roman" w:eastAsia="方正仿宋_GBK"/>
          <w:sz w:val="32"/>
          <w:szCs w:val="32"/>
        </w:rPr>
        <w:t>支持各类创新主体通过论坛引进人才及团队，每年遴选一定数量的论坛合作项目自主认定兴滇英才支持计划产业创新人才、首席技师。优先支持论坛嘉宾担任产业顾问或科技副总，支持45岁以下青年科技人才牵头组建团队承担重大科技项目。推进“以才引才”，邀请“银龄科技专家”、“银龄工程师”等来滇合作。</w:t>
      </w:r>
    </w:p>
    <w:p>
      <w:pPr>
        <w:overflowPunct w:val="0"/>
        <w:snapToGrid w:val="0"/>
        <w:spacing w:line="580" w:lineRule="atLeas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八、强化论坛资源入园兴园</w:t>
      </w:r>
    </w:p>
    <w:p>
      <w:pPr>
        <w:overflowPunct w:val="0"/>
        <w:snapToGrid w:val="0"/>
        <w:spacing w:line="580" w:lineRule="atLeas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支持各类园区根据产业发展需求，建设论坛专家服务基地，建立“基地项目+专家服务”柔性使用工作机制，举办论坛专家进园区、访企业活动。支持企业与论坛专家合作，围绕企业需求开展“订单试”科技攻关，对形成良好社会经济效益的，按照企业自有资金实际投入的10%，给予一次性不超过200万元经费补助；项目到位经费超过100万元的在人才评价、职称评聘、业绩考核、科技奖励等方面视同省科技计划项目。支持园区孵化载体探索“超前孵化”模式，常态化跟踪论坛成果发布进展，推动前沿技术和颠覆性技术转化为创业项目。</w:t>
      </w:r>
    </w:p>
    <w:p>
      <w:pPr>
        <w:overflowPunct w:val="0"/>
        <w:snapToGrid w:val="0"/>
        <w:spacing w:line="580" w:lineRule="atLeas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九、保障论坛资源入县强县</w:t>
      </w:r>
    </w:p>
    <w:p>
      <w:pPr>
        <w:overflowPunct w:val="0"/>
        <w:snapToGrid w:val="0"/>
        <w:spacing w:line="580" w:lineRule="atLeas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支持有条件的县（市、区），与论坛嘉宾合作设立院士专家工作站，围绕污染治理、生态修复、生态安全保障、资源循环利用、生态环境治理和生物多样性保护和现代农业等领域转化应用先进技术成果。鼓励有条件的县（市、区）与“大校、大院、大所、大企”合作设立高水平研究院或校（院）企联合创新平台，以产业发展需求为主导，常态化开展柔性引（育）才、产研合作、项目孵化等重点活动，对于科研成效明显的，可通过“一事一议”给予重点支持。支持有条件的县（市、区）实施一批引领型重大项目和新技术应用示范工程，择优开展应用场景试点，吸引论坛发布的新技术成果在县域“首发首试”，对纳入应用场景试点的项目承担单位，按照项目投资额的10%给予支持，最高500万元。</w:t>
      </w:r>
    </w:p>
    <w:p>
      <w:pPr>
        <w:overflowPunct w:val="0"/>
        <w:snapToGrid w:val="0"/>
        <w:spacing w:line="580" w:lineRule="atLeas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十、建立精准高效服务机制</w:t>
      </w:r>
    </w:p>
    <w:p>
      <w:pPr>
        <w:overflowPunct w:val="0"/>
        <w:snapToGrid w:val="0"/>
        <w:spacing w:line="580" w:lineRule="atLeas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由省委科技办牵头，联合发改、财政、教育、工信、商务、农业农村、金融、市场监管等部门建立联席会议制度，明确各成员单位职责，定期召开联席会议研究部署相关工作。组建工作专班，针对论坛资源落地云南、服务云南建立定制化、精准化跟踪服务机制，为论坛合作各方提供政策、技术、资本、人才、管理、市场等专项服务。</w:t>
      </w:r>
    </w:p>
    <w:p/>
    <w:sectPr>
      <w:footerReference r:id="rId3" w:type="default"/>
      <w:pgSz w:w="11906" w:h="16838"/>
      <w:pgMar w:top="2098" w:right="1531" w:bottom="1757" w:left="1531" w:header="851" w:footer="141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方正仿宋简体"/>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rPr>
                              <w:rFonts w:hint="eastAsia" w:ascii="宋体" w:hAnsi="宋体" w:cs="宋体"/>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6GVdURwCAAAnBAAADgAAAAAAAAABACAAAAA1AQAAZHJzL2Uyb0RvYy54bWxQSwUG&#10;AAAAAAYABgBZAQAAwwUAAAAA&#10;">
              <v:fill on="f" focussize="0,0"/>
              <v:stroke on="f" weight="0.5pt"/>
              <v:imagedata o:title=""/>
              <o:lock v:ext="edit" aspectratio="f"/>
              <v:textbox inset="0mm,0mm,0mm,0mm" style="mso-fit-shape-to-text:t;">
                <w:txbxContent>
                  <w:p>
                    <w:pPr>
                      <w:pStyle w:val="5"/>
                      <w:rPr>
                        <w:rFonts w:hint="eastAsia" w:ascii="宋体" w:hAnsi="宋体" w:cs="宋体"/>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EC8"/>
    <w:rsid w:val="000746D2"/>
    <w:rsid w:val="00141AE6"/>
    <w:rsid w:val="00352FAF"/>
    <w:rsid w:val="003C7650"/>
    <w:rsid w:val="00563043"/>
    <w:rsid w:val="005637DF"/>
    <w:rsid w:val="00777B9B"/>
    <w:rsid w:val="0088140A"/>
    <w:rsid w:val="00940492"/>
    <w:rsid w:val="00983C01"/>
    <w:rsid w:val="00A26D3D"/>
    <w:rsid w:val="00A3495B"/>
    <w:rsid w:val="00A85EFC"/>
    <w:rsid w:val="00BB506A"/>
    <w:rsid w:val="00CE15C5"/>
    <w:rsid w:val="00E12AD8"/>
    <w:rsid w:val="00EB6D16"/>
    <w:rsid w:val="00F05EC8"/>
    <w:rsid w:val="FFFF8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3"/>
    <w:next w:val="1"/>
    <w:qFormat/>
    <w:uiPriority w:val="0"/>
    <w:pPr>
      <w:spacing w:after="0" w:line="276" w:lineRule="auto"/>
      <w:ind w:left="120"/>
    </w:pPr>
    <w:rPr>
      <w:rFonts w:ascii="仿宋_GB2312" w:hAnsi="仿宋_GB2312" w:eastAsia="仿宋_GB2312" w:cs="仿宋_GB2312"/>
      <w:sz w:val="34"/>
      <w:szCs w:val="21"/>
      <w:lang w:val="zh-CN" w:bidi="zh-CN"/>
    </w:rPr>
  </w:style>
  <w:style w:type="paragraph" w:styleId="3">
    <w:name w:val="Body Text First Indent"/>
    <w:basedOn w:val="4"/>
    <w:link w:val="10"/>
    <w:semiHidden/>
    <w:unhideWhenUsed/>
    <w:qFormat/>
    <w:uiPriority w:val="99"/>
    <w:pPr>
      <w:ind w:firstLine="420" w:firstLineChars="100"/>
    </w:pPr>
  </w:style>
  <w:style w:type="paragraph" w:styleId="4">
    <w:name w:val="Body Text"/>
    <w:basedOn w:val="1"/>
    <w:link w:val="9"/>
    <w:semiHidden/>
    <w:unhideWhenUsed/>
    <w:qFormat/>
    <w:uiPriority w:val="99"/>
    <w:pPr>
      <w:spacing w:after="120"/>
    </w:pPr>
  </w:style>
  <w:style w:type="paragraph" w:styleId="5">
    <w:name w:val="footer"/>
    <w:basedOn w:val="1"/>
    <w:link w:val="8"/>
    <w:qFormat/>
    <w:uiPriority w:val="0"/>
    <w:pPr>
      <w:tabs>
        <w:tab w:val="center" w:pos="4153"/>
        <w:tab w:val="right" w:pos="8306"/>
      </w:tabs>
      <w:snapToGrid w:val="0"/>
      <w:jc w:val="left"/>
    </w:pPr>
    <w:rPr>
      <w:sz w:val="18"/>
    </w:rPr>
  </w:style>
  <w:style w:type="character" w:customStyle="1" w:styleId="8">
    <w:name w:val="页脚 字符"/>
    <w:basedOn w:val="7"/>
    <w:link w:val="5"/>
    <w:qFormat/>
    <w:uiPriority w:val="0"/>
    <w:rPr>
      <w:rFonts w:ascii="Calibri" w:hAnsi="Calibri" w:eastAsia="宋体" w:cs="Times New Roman"/>
      <w:sz w:val="18"/>
      <w:szCs w:val="24"/>
    </w:rPr>
  </w:style>
  <w:style w:type="character" w:customStyle="1" w:styleId="9">
    <w:name w:val="正文文本 字符"/>
    <w:basedOn w:val="7"/>
    <w:link w:val="4"/>
    <w:semiHidden/>
    <w:qFormat/>
    <w:uiPriority w:val="99"/>
    <w:rPr>
      <w:rFonts w:ascii="Calibri" w:hAnsi="Calibri" w:eastAsia="宋体" w:cs="Times New Roman"/>
      <w:szCs w:val="24"/>
    </w:rPr>
  </w:style>
  <w:style w:type="character" w:customStyle="1" w:styleId="10">
    <w:name w:val="正文文本首行缩进 字符"/>
    <w:basedOn w:val="9"/>
    <w:link w:val="3"/>
    <w:semiHidden/>
    <w:qFormat/>
    <w:uiPriority w:val="99"/>
    <w:rPr>
      <w:rFonts w:ascii="Calibri" w:hAnsi="Calibri" w:eastAsia="宋体" w:cs="Times New Roman"/>
      <w:szCs w:val="24"/>
    </w:rPr>
  </w:style>
  <w:style w:type="paragraph" w:customStyle="1" w:styleId="11">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363</Words>
  <Characters>2075</Characters>
  <Lines>17</Lines>
  <Paragraphs>4</Paragraphs>
  <TotalTime>95</TotalTime>
  <ScaleCrop>false</ScaleCrop>
  <LinksUpToDate>false</LinksUpToDate>
  <CharactersWithSpaces>2434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2024-10-31T11:10:00Z</dcterms:created>
  <dc:creator>al Z</dc:creator>
  <cp:lastModifiedBy>李新宇</cp:lastModifiedBy>
  <dcterms:modified xsi:type="dcterms:W3CDTF">2024-11-13T09:18:50Z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