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</w:pPr>
      <w:bookmarkStart w:id="6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  <w:t>云南省新型研发机构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bookmarkStart w:id="0" w:name="_Hlk75961844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（征求意见稿）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第一章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总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 </w:t>
      </w:r>
      <w:bookmarkStart w:id="1" w:name="_Hlk76041018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规范和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新型研发机构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（以下简称新型研发机构）的培育与运行管理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全省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创新体系整体效能，根据《科技部印发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zh-CN"/>
        </w:rPr>
        <w:t>促进新型研发机构发展的指导意见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的通知》（国科发政〔2019〕313号）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《云南省促进新型研发机构发展实施方案》（云科联发〔2021〕7号）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精神以及科技计划项目管理的有关规定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，结合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云南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实际，制定本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办法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bookmarkStart w:id="2" w:name="_Hlk75962009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第二条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 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</w:rPr>
        <w:t>新型研发机构是聚焦科技创新需求，主要从事科学研究、技术创新和研发服务，投资主体多元化、管理制度现代化、运行机制市场化、用人机制灵活的独立法人机构，可依法注册为科技类民办非企业单位、事业单位和企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通过发展新型研发机构，进一步优化科研力量布局，强化产业技术供给，促进科技成果转移转化，推动科技创新和经济社会发展深度融合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highlight w:val="none"/>
        </w:rPr>
        <w:t>第二章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黑体_GBK" w:hAnsi="方正黑体_GBK" w:eastAsia="方正黑体_GBK" w:cs="方正黑体_GBK"/>
          <w:sz w:val="32"/>
          <w:szCs w:val="32"/>
          <w:highlight w:val="none"/>
        </w:rPr>
        <w:t>职 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</w:rPr>
        <w:t xml:space="preserve">条 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云南省科学技术厅（以下简称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省科技厅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管理部门，主要职责是：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（一）制定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新型研发机构培育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和发展的总体规划、发展计划、相关政策。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（二）批准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培育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、重大事项变更和撤销。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（三）指导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的运行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新型研发机构补助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经费的使用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组织对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的验收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和评价。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指导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的安全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生产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推荐部门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属地管理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部门，主要职责是：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的申报推荐。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在基础条件建设、科研设备购置、人才住房配套服务以及运行经费等方面给予支持，推动新型研发机构有序建设运行。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（三）协助省科技厅开展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的验收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和评价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督导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安全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生产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举办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（业务主管单位、出资人）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直接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坚持“谁举办、谁负责，谁设立、谁撤销”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（一）应当为新型研发机构管理运行、研发创新提供保障，引导新型研发机构聚焦科学研究、技术创新和研发服务，避免功能定位泛化，防止向其他领域扩张。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（二）配合省科技厅和推荐部门做好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新型研发机构的验收和评价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，审核材料的真实性和准确性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，组织开展新型研发机构的年度考核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（三）落实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安全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生产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主体责任，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督导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健全管理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规章制度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并监督落实到位，定期组织开展安全检查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  <w:t>第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  <w:t>章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申报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与批准</w:t>
      </w:r>
    </w:p>
    <w:p>
      <w:pPr>
        <w:ind w:firstLine="64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申报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云南省新型研发机构培育对象（以下简称培育对象）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应符合以下条件：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（一）具有独立法人资格，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治理结构完善，运行状况良好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（二）主要开展基础研究、应用基础研究，产业共性关键技术研发、科技成果转移转化，以及研发服务等。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（三）拥有开展研发、试验、服务等所必需的条件和设施。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本地自有（含举办单位有明确协议提供使用）的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科研用房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平方米以上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、科研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仪器设备原值在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万元以上。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（四）具有结构相对合理稳定、研发能力较强的人才团队。常驻研发人员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（以全年实际工作时间超过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个月计）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不少于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人且占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员工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总人数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0%以上</w:t>
      </w:r>
      <w:bookmarkStart w:id="3" w:name="_Hlk7639198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，博士学位或高级职称以上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科研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人才不低于研发人员总数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1/3</w:t>
      </w:r>
      <w:bookmarkEnd w:id="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具有相对稳定的收入来源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bookmarkStart w:id="4" w:name="_Hlk76659139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企业性质的机构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上年度</w:t>
      </w:r>
      <w:bookmarkEnd w:id="4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研发经费投入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占年收入总额的30%以上且不低于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00万元。事业单位与科技类民办非企业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性质的机构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，研发经费投入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占年收入总额的30%以上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，且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上年度技术开发、技术转让、技术服务、技术咨询收入、政府购买服务收入以及承接科研项目获得经费总额不低于500万元。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（六）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与省内外高能级科研机构有实质性的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合作共建关系，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高质量创新资源导入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方式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（七）具有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科研管理、协同创新、成果熟化转化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等内部管理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机制。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）近3年未出现违法违规行为或严重失信行为。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新型研发机构培育对象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遴选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工作程序如下：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bookmarkStart w:id="5" w:name="_Hlk76049848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申报。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省科技厅发布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通知，申报单位登录云南省科技管理信息系统，按要求填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报申请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材料。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推荐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推荐部门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对申请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材料的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完整性与规范性进行审核并提出推荐意见。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评审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省科技厅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委托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第三方机构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组织评审。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审议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省科技厅根据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评审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推荐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意见，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审议提出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新型研发机构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培育对象名单，在征求相关部门意见后进行公示。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批准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名单经公示无异议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后，批准进入培育期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条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获批建设的云南实验室、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已注册成立独立法人的省技术创新中心和省重点实验室，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直接成为新型研发机构，按照云南实验室、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省技术创新中心和省重点实验室，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相关政策管理和支持，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不再重复支持。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  <w:t>第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</w:rPr>
        <w:t xml:space="preserve">章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运行与管理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条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批准的培育对象，培育期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3年，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培育期内使用“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云南省新型研发机构培育对象XXX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”名称。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通过验收后进入运行期，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正式认定为“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云南省新型研发机构XXX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定期组织考核与评估。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cyan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培育期内，省科技厅每年组织一次培育对象运行绩效评价。评价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内容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、科技成果转移转化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研发服务提供、科研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人才培养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与引进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科技企业孵化、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科研基础设施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提升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、运行管理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完善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当地政府和举办单位的支持和投入、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经费开支等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cyan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评价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结果分为“优”、“良”、“基本合格”3类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评价的培育对象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评价结果为“基本合格”的培育对象，向省科技厅提交切实有效的整改措施，省科技厅跟踪了解整改情况。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第十二条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培育期满3个月内，培育对象向省科技厅提交验收申请，省科技厅组织专家进行验收，可申请延期验收，延期时限不超过1年。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验收结果分为“优”、“良”、“通过”、“不通过”4类。没有完成培育期核心任务的，结果为“不通过”，取消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云南省新型研发机构培育对象XXX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”名称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运行期内，举办单位每年组织对新型研发机构年度运行绩效的考核，考核情况报省科技厅备案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，同时报送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推荐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第十四条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运行期内，省科技厅每3年组织一次对新型研发机构运行情况的绩效评价。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评价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结果分为“优”、“良”、“基本合格”“不合格”4类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评估结果为“基本合格”的，新型研发机构向省科技厅提交切实有效的整改措施，省科技厅跟踪了解整改情况。评估结果为“不合格”或连续2次为“基本合格”的，取消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云南省新型研发机构XXX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”名称。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第十五条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支撑培育对象和新型研发机构验收和评价的科研成果，均须标注培育对象或新型研发机构名称。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cyan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发生安全生产责任事故等违法违规情况的，验收和评价结果不得为“优”和“良”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第十六条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多元投资设立的新型研发机构，原则上应实行理事会、董事会（以下简称“理事会”）决策制和院长、所长、总经理（以下简称“院所长”）负责制，根据法律法规和出资方协议制定章程，依照章程管理运行。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（一）章程应明确理事会的职责、组成、产生机制，理事长和理事的产生、任职资格，主要经费来源和业务范围，主营业务收益管理以及政府支持的资源类收益分配机制等。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（二）理事会成员原则上应包括出资方、产业界、行业领域专家以及本机构代表等。理事会负责选定院所长，制定修改章程、审定发展规划、年度工作计划、财务预决算、薪酬分配等重大事项。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（三）法定代表人一般由院所长担任。院所长全面负责科研业务和日常管理工作，推动内控管理和监督，执行理事会决议，对理事会负责。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（四）建立咨询委员会，就机构发展战略、重大科学技术问题、科研诚信和科研伦理等开展咨询。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第十七条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新型研发机构应全面加强党的建设。根据《中国共产党章程》规定，设立党的组织，充分发挥党组织在新型研发机构中的战斗堡垒作用，强化政治引领，切实保证党的领导贯彻落实到位。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第十八条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新型研发机构根据科学研究、技术创新和研发服务实际需求，自主确定研发选题，动态设立调整研发单元，灵活配置科研人员、组织研发团队、调配科研设备，加强科研诚信和科研伦理建设。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第十九条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新型研发机构应采用市场化用人机制、薪酬制度，充分发挥市场机制在配置创新资源中的决定性作用，自主面向社会公开招聘人员，对标市场化薪酬合理确定职工工资水平，建立与创新能力和创新绩效相匹配的收入分配机制。以项目合作等方式在新型研发机构兼职开展技术研发和服务的高校、科研机构人员按照双方签订的合同进行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 xml:space="preserve"> 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新型研发机构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若发生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名称变更、股权结构变更、重大人员变动等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，应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及时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以书面形式报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省科技厅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若涉及机构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注销，应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提前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以书面形式报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省科技厅，并配合就后补助经费进行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核算和审计。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第四章  支持措施</w:t>
      </w:r>
    </w:p>
    <w:p>
      <w:pPr>
        <w:pStyle w:val="7"/>
        <w:keepNext w:val="0"/>
        <w:keepLines w:val="0"/>
        <w:widowControl/>
        <w:suppressLineNumbers w:val="0"/>
        <w:ind w:left="0" w:firstLine="642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二十一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省科技厅通过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定额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方式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培育对象的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运行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发展。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新型研发机构根据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云南省科技计划项目资金管理办法（试行）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相关规定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建立健全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符合自身特点的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研发活动经费管理制度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明确绩效支出分配标准和范围等经费使用要求，体现对科研人员的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激励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合理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合规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列支后补助经费。</w:t>
      </w:r>
    </w:p>
    <w:p>
      <w:pPr>
        <w:pStyle w:val="7"/>
        <w:keepNext w:val="0"/>
        <w:keepLines w:val="0"/>
        <w:widowControl/>
        <w:suppressLineNumbers w:val="0"/>
        <w:ind w:left="0" w:firstLine="642" w:firstLineChars="200"/>
        <w:rPr>
          <w:rFonts w:hint="eastAsia" w:ascii="Times New Roman" w:hAnsi="Times New Roman" w:eastAsia="方正仿宋_GB2312" w:cs="Times New Roman"/>
          <w:color w:val="FF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二十二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后补助经费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由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新型研发机构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自主用于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开展基础研究、应用基础研究，产业共性关键技术研发、科技成果转移转化，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科研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平台能力提升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，科研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人才培养引进等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支出。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经费使用范围不超过现行的资金管理办法规定的范围。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二十三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定额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补助经费按年度拨付，分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培育期评价后补助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验收后补助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类：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培育期评价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后补助经费。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培育期前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评价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结果为“优”的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每个每年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；评价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结果为“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 w:color="FFFFFF"/>
        </w:rPr>
        <w:t>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每个每年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经费100万元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；评价结果为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基本合格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不安排经费。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后补助经费。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结果为“优”的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每个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；验收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结果为“良”的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每个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经费100万元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；验收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结果为“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整改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不安排经费。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二十四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国内外知名高校、科研机构、医疗卫生机构、世界500强企业、中央企业等来滇新设立的研发总部、区域研发中心或高水平研究院等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建设的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新型研发机构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培育对象，培育期评价和验收均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为优秀的，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“一事一议”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给予一次性最高1000万元奖补。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二十五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优先支持新型研发机构承担中央引导地方科技发展专项资金项目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第五章    附则</w:t>
      </w:r>
    </w:p>
    <w:p>
      <w:pPr>
        <w:ind w:firstLine="642" w:firstLineChars="200"/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eastAsia="zh-CN"/>
        </w:rPr>
        <w:t>二十六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  <w:t>条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由省科技厅负责解释。自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2024年  月日起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施行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，有效期至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2029年  月  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《云南省新型研发机构培育办法（试行）》（云科规〔2022〕6号）同时废止。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ind w:left="638" w:leftChars="304" w:firstLine="0" w:firstLineChars="0"/>
        <w:jc w:val="left"/>
        <w:textAlignment w:val="auto"/>
        <w:rPr>
          <w:u w:val="none"/>
        </w:rPr>
      </w:pPr>
    </w:p>
    <w:p>
      <w:pPr>
        <w:overflowPunct w:val="0"/>
        <w:snapToGrid w:val="0"/>
        <w:spacing w:line="580" w:lineRule="atLeast"/>
        <w:ind w:firstLine="420" w:firstLineChars="200"/>
        <w:jc w:val="left"/>
      </w:pPr>
    </w:p>
    <w:p/>
    <w:sectPr>
      <w:footerReference r:id="rId3" w:type="default"/>
      <w:pgSz w:w="11906" w:h="16838"/>
      <w:pgMar w:top="2098" w:right="1531" w:bottom="1757" w:left="1531" w:header="851" w:footer="1417" w:gutter="0"/>
      <w:pgNumType w:fmt="decimal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UP6K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abstractNum w:abstractNumId="1">
    <w:nsid w:val="12796F0F"/>
    <w:multiLevelType w:val="multilevel"/>
    <w:tmpl w:val="12796F0F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234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A6D1"/>
    <w:rsid w:val="23EC8C42"/>
    <w:rsid w:val="2B53D27C"/>
    <w:rsid w:val="2C2E33E3"/>
    <w:rsid w:val="37EF22B5"/>
    <w:rsid w:val="37FF7867"/>
    <w:rsid w:val="3FAF191E"/>
    <w:rsid w:val="3FDD9697"/>
    <w:rsid w:val="4BCA7132"/>
    <w:rsid w:val="5B6D18B3"/>
    <w:rsid w:val="5DFFAA8B"/>
    <w:rsid w:val="5E7BB797"/>
    <w:rsid w:val="5F0FA58F"/>
    <w:rsid w:val="5F5F817A"/>
    <w:rsid w:val="5FBE7C71"/>
    <w:rsid w:val="60EF4BB0"/>
    <w:rsid w:val="67C780E2"/>
    <w:rsid w:val="6C963264"/>
    <w:rsid w:val="6DEAF8EA"/>
    <w:rsid w:val="6F96D83B"/>
    <w:rsid w:val="6FFCB515"/>
    <w:rsid w:val="7159B629"/>
    <w:rsid w:val="77FB8BEC"/>
    <w:rsid w:val="793BE353"/>
    <w:rsid w:val="797FA02D"/>
    <w:rsid w:val="79F55B43"/>
    <w:rsid w:val="7ADF1526"/>
    <w:rsid w:val="7AF9DA01"/>
    <w:rsid w:val="7CB76A44"/>
    <w:rsid w:val="7DDCF6D9"/>
    <w:rsid w:val="7DF9AF3F"/>
    <w:rsid w:val="7DF9C2AE"/>
    <w:rsid w:val="7E62F647"/>
    <w:rsid w:val="7EBD28BB"/>
    <w:rsid w:val="7EDF4BD9"/>
    <w:rsid w:val="7F7BDDE2"/>
    <w:rsid w:val="7FBF9E49"/>
    <w:rsid w:val="7FDAD2F7"/>
    <w:rsid w:val="7FEFBA0E"/>
    <w:rsid w:val="7FF3CB09"/>
    <w:rsid w:val="85FFB375"/>
    <w:rsid w:val="8CDDEA5E"/>
    <w:rsid w:val="8FBA2C84"/>
    <w:rsid w:val="9EFF920F"/>
    <w:rsid w:val="9FD5BD90"/>
    <w:rsid w:val="BE7E6890"/>
    <w:rsid w:val="BF4F71F1"/>
    <w:rsid w:val="BF9F396A"/>
    <w:rsid w:val="CEB79FCC"/>
    <w:rsid w:val="D3FF57BE"/>
    <w:rsid w:val="DBC22C5E"/>
    <w:rsid w:val="DCFF0209"/>
    <w:rsid w:val="DDDA2D18"/>
    <w:rsid w:val="DFEBCE98"/>
    <w:rsid w:val="DFF58B97"/>
    <w:rsid w:val="E3EDE93C"/>
    <w:rsid w:val="EEF3C43A"/>
    <w:rsid w:val="EF3F9199"/>
    <w:rsid w:val="EFF92661"/>
    <w:rsid w:val="EFF971F1"/>
    <w:rsid w:val="EFFA7D87"/>
    <w:rsid w:val="F31FC27F"/>
    <w:rsid w:val="F6FF7D06"/>
    <w:rsid w:val="F76F5766"/>
    <w:rsid w:val="F777E3C7"/>
    <w:rsid w:val="F77D9880"/>
    <w:rsid w:val="F7EF5B43"/>
    <w:rsid w:val="F7F6EF69"/>
    <w:rsid w:val="FBD2338A"/>
    <w:rsid w:val="FBFF0B7A"/>
    <w:rsid w:val="FCF13204"/>
    <w:rsid w:val="FDF7D697"/>
    <w:rsid w:val="FDFF2EC0"/>
    <w:rsid w:val="FEFF9C51"/>
    <w:rsid w:val="FF77E88E"/>
    <w:rsid w:val="FF8FBB8A"/>
    <w:rsid w:val="FFEE6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28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List"/>
    <w:basedOn w:val="4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2018-12-05T17:47:00Z</dcterms:created>
  <dc:creator>user</dc:creator>
  <cp:lastModifiedBy>李姣娥</cp:lastModifiedBy>
  <dcterms:modified xsi:type="dcterms:W3CDTF">2024-11-18T16:06:15Z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