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66D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5FF59896">
      <w:pPr>
        <w:bidi w:val="0"/>
        <w:rPr>
          <w:rFonts w:hint="default"/>
          <w:lang w:val="en-US" w:eastAsia="zh-CN"/>
        </w:rPr>
      </w:pPr>
    </w:p>
    <w:p w14:paraId="007A6E8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75" w:afterAutospacing="0" w:line="58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《云南省科技厅关于征求软科学研究项目管理实施细则（征求意见稿）》</w:t>
      </w:r>
    </w:p>
    <w:p w14:paraId="3456E0F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75" w:afterAutospacing="0" w:line="580" w:lineRule="exact"/>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sz w:val="44"/>
          <w:szCs w:val="44"/>
        </w:rPr>
        <w:t>修订说明</w:t>
      </w:r>
    </w:p>
    <w:p w14:paraId="17875C3C">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p>
    <w:p w14:paraId="2B31417F">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为更好地适应云南省科技创新发展需求，</w:t>
      </w:r>
      <w:r>
        <w:rPr>
          <w:rFonts w:hint="default" w:ascii="Times New Roman" w:hAnsi="Times New Roman" w:eastAsia="仿宋_GB2312" w:cs="Times New Roman"/>
          <w:i w:val="0"/>
          <w:iCs w:val="0"/>
          <w:caps w:val="0"/>
          <w:color w:val="auto"/>
          <w:spacing w:val="0"/>
          <w:sz w:val="32"/>
          <w:szCs w:val="32"/>
          <w:shd w:val="clear" w:color="auto" w:fill="FFFFFF"/>
        </w:rPr>
        <w:t>进一步规范和加强</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云南省科技厅软科学研究项目组织管理</w:t>
      </w:r>
      <w:r>
        <w:rPr>
          <w:rFonts w:hint="eastAsia" w:ascii="Times New Roman" w:hAnsi="Times New Roman" w:eastAsia="仿宋_GB2312" w:cs="仿宋_GB2312"/>
          <w:sz w:val="32"/>
          <w:szCs w:val="32"/>
        </w:rPr>
        <w:t>，省科技厅对《云南省科技厅科技发展战略与政策研究专项管理实施细则》（云科规〔2020〕1号，以下简称“原细则”）进行修订，起草了《云南省科技厅软科学研究项目管理实施细则（征求意见稿）》（以下简称《征求意见稿》），现说明如下：</w:t>
      </w:r>
    </w:p>
    <w:p w14:paraId="1F089EAA">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一、修订背景</w:t>
      </w:r>
    </w:p>
    <w:p w14:paraId="0C3F6500">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自原细则实施以来，在规范软科学研究项目管理、推动科技创新决策研究等方面发挥了重要作用。但随着科技发展形势的变化，原细则逐渐难以满足新的需求。一方面，国家对科技创新决策咨询的重视程度不断提高，出台了一系列政策鼓励软科学研究为决策服务，我省需要紧跟国家政策导向，强化软科学研究对科技创新决策的支撑作用。另一方面，云南省科技创新工作面临新的任务与挑战，如产业创新升级、科技成果转化等，对软科学研究的深度、广度和精准度提出了更高要求。同时，在原细则执行过程中，暴露出资源配置方式单一、成果价值体现不足、对外开放兼容性不够等问题。为深入贯彻党的二十届三中全会精神和习近平总书记视察云南重要指示精神，积极落实省委科技委关于加强科技咨询委建设、完善科技创新决策咨询机制的工作要求，省科技厅对原细则进行修订，以进一步提升软科学研究项目管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实施</w:t>
      </w:r>
      <w:r>
        <w:rPr>
          <w:rFonts w:hint="eastAsia" w:ascii="Times New Roman" w:hAnsi="Times New Roman" w:eastAsia="仿宋_GB2312" w:cs="仿宋_GB2312"/>
          <w:sz w:val="32"/>
          <w:szCs w:val="32"/>
        </w:rPr>
        <w:t>效能，促进软科学研究更好地服务云南科技创新发展。</w:t>
      </w:r>
    </w:p>
    <w:p w14:paraId="34D4DE9A">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二、修订依据</w:t>
      </w:r>
    </w:p>
    <w:p w14:paraId="5655C4D9">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征求意见稿》依据《云南省科技计划项目资金管理办法》（云财规〔2020〕5号）、《云南省行政规范性文件制定和备案办法》等相关文件，同时参考科技部出台的软科学研究相关政策，以及全国31个省份（直辖市）中22个出台软科学研究项目管理办法省份的经验，在原细则的基础上进行修订。这些文件和经验为《征求意见稿》的修订提供了政策遵循、制度规范和实践参考，确保修订后的细则既符合国家和省级政策要求，又能吸收借鉴其他地区的先进做法，适应云南省软科学研究项目管理的实际需要。</w:t>
      </w:r>
    </w:p>
    <w:p w14:paraId="61D0603E">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三、修订说明</w:t>
      </w:r>
    </w:p>
    <w:p w14:paraId="53455BB7">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《征求意见稿》在原细则基础上从以下几个方面进行修订：</w:t>
      </w:r>
    </w:p>
    <w:p w14:paraId="7497A76A">
      <w:pPr>
        <w:keepNext w:val="0"/>
        <w:keepLines w:val="0"/>
        <w:pageBreakBefore w:val="0"/>
        <w:widowControl w:val="0"/>
        <w:kinsoku/>
        <w:wordWrap/>
        <w:overflowPunct/>
        <w:topLinePunct w:val="0"/>
        <w:autoSpaceDE/>
        <w:autoSpaceDN/>
        <w:bidi w:val="0"/>
        <w:adjustRightInd/>
        <w:snapToGrid/>
        <w:spacing w:line="580"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（一）删除的条款</w:t>
      </w:r>
    </w:p>
    <w:p w14:paraId="48094FC5">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总结原细则执行情况的基础上，结合软科学研究项目管理的新形势和新要求，对部分条款进行删除。一是原细则中关于项目分类为委托项目、稳定支持项目和开放项目的条款，新的《征求意见稿》采用重点项目、一般项目和重大项目的分类方式，以更合理地配置资源和满足不同研究需求。二是删除原细则中与其他现行政策存在重复或交叉的条款，避免政策冲突和管理混乱，确保政策的一致性和协调性。</w:t>
      </w:r>
    </w:p>
    <w:p w14:paraId="66734931">
      <w:pPr>
        <w:keepNext w:val="0"/>
        <w:keepLines w:val="0"/>
        <w:pageBreakBefore w:val="0"/>
        <w:widowControl w:val="0"/>
        <w:kinsoku/>
        <w:wordWrap/>
        <w:overflowPunct/>
        <w:topLinePunct w:val="0"/>
        <w:autoSpaceDE/>
        <w:autoSpaceDN/>
        <w:bidi w:val="0"/>
        <w:adjustRightInd/>
        <w:snapToGrid/>
        <w:spacing w:line="580"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（二）保留、优化的条款</w:t>
      </w:r>
    </w:p>
    <w:p w14:paraId="5F4AEC0C">
      <w:pPr>
        <w:keepNext w:val="0"/>
        <w:keepLines w:val="0"/>
        <w:pageBreakBefore w:val="0"/>
        <w:widowControl w:val="0"/>
        <w:numPr>
          <w:ilvl w:val="0"/>
          <w:numId w:val="1"/>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组织管理原则：保留“支撑决策、研以致用、鼓励协同”的组织管理原则，强化软科学研究服务科技创新决策的核心定位，鼓励多部门、多学科协同合作开展研究，提升研究成果的实用性和应用价值。</w:t>
      </w:r>
    </w:p>
    <w:p w14:paraId="4E96438D">
      <w:pPr>
        <w:keepNext w:val="0"/>
        <w:keepLines w:val="0"/>
        <w:pageBreakBefore w:val="0"/>
        <w:widowControl w:val="0"/>
        <w:numPr>
          <w:ilvl w:val="0"/>
          <w:numId w:val="1"/>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立项管理流程：保留项目申报、评审、公示等基本立项管理流程，对申报渠道、材料要求、评审标准等环节进行优化。进一步明确申报单位的资质条件，细化评审指标，确保立项过程更加公平、公正、科学。</w:t>
      </w:r>
    </w:p>
    <w:p w14:paraId="4725C9DB">
      <w:pPr>
        <w:keepNext w:val="0"/>
        <w:keepLines w:val="0"/>
        <w:pageBreakBefore w:val="0"/>
        <w:widowControl w:val="0"/>
        <w:numPr>
          <w:ilvl w:val="0"/>
          <w:numId w:val="1"/>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项目实施与监督：保留项目实施期限、变更程序、监督检查等基本规定，优化对项目承担单位和项目负责人的责任要求，加强对项目实施过程的跟踪管理，及时发现和解决问题，保障项目顺利推进。</w:t>
      </w:r>
    </w:p>
    <w:p w14:paraId="191CF0B7">
      <w:pPr>
        <w:keepNext w:val="0"/>
        <w:keepLines w:val="0"/>
        <w:pageBreakBefore w:val="0"/>
        <w:widowControl w:val="0"/>
        <w:numPr>
          <w:ilvl w:val="0"/>
          <w:numId w:val="1"/>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验收要求：保留项目验收的基本要求，对验收材料、验收方式、成果评价等内容进行优化。明确验收材料的具体清单和格式要求，丰富验收方式，综合运用专家评审、成果应用评价等方式，全面、客观地评价项目成果质量。</w:t>
      </w:r>
    </w:p>
    <w:p w14:paraId="168F8DF8">
      <w:pPr>
        <w:keepNext w:val="0"/>
        <w:keepLines w:val="0"/>
        <w:pageBreakBefore w:val="0"/>
        <w:widowControl w:val="0"/>
        <w:kinsoku/>
        <w:wordWrap/>
        <w:overflowPunct/>
        <w:topLinePunct w:val="0"/>
        <w:autoSpaceDE/>
        <w:autoSpaceDN/>
        <w:bidi w:val="0"/>
        <w:adjustRightInd/>
        <w:snapToGrid/>
        <w:spacing w:line="580"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（三）新增的条款</w:t>
      </w:r>
    </w:p>
    <w:p w14:paraId="2FF36119">
      <w:pPr>
        <w:keepNext w:val="0"/>
        <w:keepLines w:val="0"/>
        <w:pageBreakBefore w:val="0"/>
        <w:widowControl w:val="0"/>
        <w:numPr>
          <w:ilvl w:val="0"/>
          <w:numId w:val="2"/>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参考其他省份软科学研究项目管理的成功经验，结合云南省实际情况，新增部分条款。</w:t>
      </w:r>
    </w:p>
    <w:p w14:paraId="4F7568A7">
      <w:pPr>
        <w:keepNext w:val="0"/>
        <w:keepLines w:val="0"/>
        <w:pageBreakBefore w:val="0"/>
        <w:widowControl w:val="0"/>
        <w:numPr>
          <w:ilvl w:val="0"/>
          <w:numId w:val="2"/>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项目分类及支持额度：新增项目分为重点项目、一般项目和重大项目的分类方式，并明确各类项目的支持额度。重点项目单个支持额度不超过15万元/项、一般项目单个支持额度不超过8万元/项，重大项目单个支持额度采取“一事一议”方式确定，提高资金使用的针对性和效益。</w:t>
      </w:r>
    </w:p>
    <w:p w14:paraId="3442E5E5">
      <w:pPr>
        <w:keepNext w:val="0"/>
        <w:keepLines w:val="0"/>
        <w:pageBreakBefore w:val="0"/>
        <w:widowControl w:val="0"/>
        <w:numPr>
          <w:ilvl w:val="0"/>
          <w:numId w:val="2"/>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归口管理单位职责：明确各州（市）科技局、高校院所、部分中央在滇单位、省委科技办成员单位、省直部门及经省科技厅核准的其他单位作为归口管理单位的职责，包括项目推荐、初审、协助验收等，构建更加完善的项目管理组织体系。</w:t>
      </w:r>
    </w:p>
    <w:p w14:paraId="54A07C90">
      <w:pPr>
        <w:keepNext w:val="0"/>
        <w:keepLines w:val="0"/>
        <w:pageBreakBefore w:val="0"/>
        <w:widowControl w:val="0"/>
        <w:numPr>
          <w:ilvl w:val="0"/>
          <w:numId w:val="2"/>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果应用与转化：新增对项目成果应用与转化的要求，鼓励项目承担单位积极推动研究成果转化为实际政策、决策建议或创新实践。明确成果应用的方式和渠道，如向省科技厅上报成果供决策参考、在相关内刊刊发成果等，加强成果与实际应用的对接。</w:t>
      </w:r>
    </w:p>
    <w:p w14:paraId="5E2A8681">
      <w:pPr>
        <w:keepNext w:val="0"/>
        <w:keepLines w:val="0"/>
        <w:pageBreakBefore w:val="0"/>
        <w:widowControl w:val="0"/>
        <w:numPr>
          <w:ilvl w:val="0"/>
          <w:numId w:val="2"/>
        </w:numPr>
        <w:kinsoku/>
        <w:wordWrap/>
        <w:overflowPunct/>
        <w:topLinePunct w:val="0"/>
        <w:autoSpaceDE/>
        <w:autoSpaceDN/>
        <w:bidi w:val="0"/>
        <w:adjustRightInd/>
        <w:snapToGrid/>
        <w:spacing w:line="580" w:lineRule="atLeas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科研诚信与监督：增加科研诚信相关条款，明确对项目申报、实施和验收过程中科研不端行为的处理措施，加强对项目全过程的监督管理，营造良好的科研环境。</w:t>
      </w:r>
      <w:bookmarkStart w:id="0" w:name="_GoBack"/>
      <w:bookmarkEnd w:id="0"/>
    </w:p>
    <w:p w14:paraId="3FE0E271">
      <w:pPr>
        <w:keepNext w:val="0"/>
        <w:keepLines w:val="0"/>
        <w:pageBreakBefore w:val="0"/>
        <w:widowControl w:val="0"/>
        <w:kinsoku/>
        <w:wordWrap/>
        <w:overflowPunct/>
        <w:topLinePunct w:val="0"/>
        <w:autoSpaceDE/>
        <w:autoSpaceDN/>
        <w:bidi w:val="0"/>
        <w:adjustRightInd/>
        <w:snapToGrid/>
        <w:spacing w:line="580" w:lineRule="atLeast"/>
        <w:ind w:firstLine="640" w:firstLineChars="200"/>
        <w:textAlignment w:val="auto"/>
        <w:rPr>
          <w:rFonts w:hint="eastAsia" w:ascii="Times New Roman" w:hAnsi="Times New Roman"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D9032B-E0F3-4881-B55E-39F1DAAE2C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E2694025-05F0-4DCE-B704-8781CF259A4B}"/>
  </w:font>
  <w:font w:name="仿宋_GB2312">
    <w:panose1 w:val="02010609030101010101"/>
    <w:charset w:val="86"/>
    <w:family w:val="auto"/>
    <w:pitch w:val="default"/>
    <w:sig w:usb0="00000001" w:usb1="080E0000" w:usb2="00000000" w:usb3="00000000" w:csb0="00040000" w:csb1="00000000"/>
    <w:embedRegular r:id="rId3" w:fontKey="{E6D678F8-A8D3-403A-AECC-760CB5EE38AF}"/>
  </w:font>
  <w:font w:name="楷体">
    <w:panose1 w:val="02010609060101010101"/>
    <w:charset w:val="86"/>
    <w:family w:val="auto"/>
    <w:pitch w:val="default"/>
    <w:sig w:usb0="800002BF" w:usb1="38CF7CFA" w:usb2="00000016" w:usb3="00000000" w:csb0="00040001" w:csb1="00000000"/>
    <w:embedRegular r:id="rId4" w:fontKey="{058DC0DB-3A5C-470E-838D-89E3D04C172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B2C07"/>
    <w:multiLevelType w:val="singleLevel"/>
    <w:tmpl w:val="DC9B2C07"/>
    <w:lvl w:ilvl="0" w:tentative="0">
      <w:start w:val="1"/>
      <w:numFmt w:val="decimal"/>
      <w:suff w:val="nothing"/>
      <w:lvlText w:val="%1．"/>
      <w:lvlJc w:val="left"/>
      <w:pPr>
        <w:ind w:left="0" w:firstLine="400"/>
      </w:pPr>
      <w:rPr>
        <w:rFonts w:hint="default"/>
      </w:rPr>
    </w:lvl>
  </w:abstractNum>
  <w:abstractNum w:abstractNumId="1">
    <w:nsid w:val="E62364C6"/>
    <w:multiLevelType w:val="singleLevel"/>
    <w:tmpl w:val="E62364C6"/>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8308B"/>
    <w:rsid w:val="01A74526"/>
    <w:rsid w:val="0965355E"/>
    <w:rsid w:val="0A412F66"/>
    <w:rsid w:val="12BA1F1F"/>
    <w:rsid w:val="14EC65D8"/>
    <w:rsid w:val="161201F2"/>
    <w:rsid w:val="19406E60"/>
    <w:rsid w:val="1B006F5E"/>
    <w:rsid w:val="1BFE10F5"/>
    <w:rsid w:val="1C88308B"/>
    <w:rsid w:val="22474736"/>
    <w:rsid w:val="25671EFF"/>
    <w:rsid w:val="27704CF9"/>
    <w:rsid w:val="28395B7F"/>
    <w:rsid w:val="28B15332"/>
    <w:rsid w:val="297F61FD"/>
    <w:rsid w:val="2DB857AA"/>
    <w:rsid w:val="2EB80C5A"/>
    <w:rsid w:val="33700C81"/>
    <w:rsid w:val="33E80DEA"/>
    <w:rsid w:val="34C84EB0"/>
    <w:rsid w:val="361A11CB"/>
    <w:rsid w:val="375D3863"/>
    <w:rsid w:val="397F0ACC"/>
    <w:rsid w:val="3AA72F42"/>
    <w:rsid w:val="3C630CF5"/>
    <w:rsid w:val="3CB24DB3"/>
    <w:rsid w:val="3E3A0827"/>
    <w:rsid w:val="43BB23D5"/>
    <w:rsid w:val="45FA3DDA"/>
    <w:rsid w:val="488444E8"/>
    <w:rsid w:val="4C1F1D1A"/>
    <w:rsid w:val="502971A9"/>
    <w:rsid w:val="50B6517B"/>
    <w:rsid w:val="514D2D1B"/>
    <w:rsid w:val="51932F6A"/>
    <w:rsid w:val="54221A19"/>
    <w:rsid w:val="57213A9F"/>
    <w:rsid w:val="61025DA4"/>
    <w:rsid w:val="61FC1EF8"/>
    <w:rsid w:val="6546152D"/>
    <w:rsid w:val="65B058D8"/>
    <w:rsid w:val="68B63941"/>
    <w:rsid w:val="6A5A1715"/>
    <w:rsid w:val="6AE1288E"/>
    <w:rsid w:val="6CE11906"/>
    <w:rsid w:val="71CE7FFD"/>
    <w:rsid w:val="73A73D3F"/>
    <w:rsid w:val="759609CD"/>
    <w:rsid w:val="75EC40F4"/>
    <w:rsid w:val="760A3356"/>
    <w:rsid w:val="76AD080F"/>
    <w:rsid w:val="78E056FB"/>
    <w:rsid w:val="7AAF3618"/>
    <w:rsid w:val="7D66678F"/>
    <w:rsid w:val="7D6D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1856</Words>
  <Characters>1865</Characters>
  <Lines>0</Lines>
  <Paragraphs>0</Paragraphs>
  <TotalTime>34</TotalTime>
  <ScaleCrop>false</ScaleCrop>
  <LinksUpToDate>false</LinksUpToDate>
  <CharactersWithSpaces>1865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2025-04-27T01:52:00Z</dcterms:created>
  <dc:creator>王畅</dc:creator>
  <cp:lastModifiedBy>王畅</cp:lastModifiedBy>
  <dcterms:modified xsi:type="dcterms:W3CDTF">2025-04-27T03:09:12Z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F1124D10A3ED42518C9ED783A5DA1ADB_13</vt:lpwstr>
  </property>
  <property fmtid="{D5CDD505-2E9C-101B-9397-08002B2CF9AE}" pid="4" name="KSOTemplateDocerSaveRecord">
    <vt:lpwstr>eyJoZGlkIjoiYzc1MmRmYThmNjI5Njc0YmU5ODUwZmFhY2I5OTcwNmUiLCJ1c2VySWQiOiIzNjU5NDI3NzgifQ==</vt:lpwstr>
  </property>
</Properties>
</file>