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3AD7"/>
    <w:p w14:paraId="31E72B2E"/>
    <w:p w14:paraId="5EA7CDFE"/>
    <w:p w14:paraId="74CD6D0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关于</w:t>
      </w:r>
      <w:r>
        <w:rPr>
          <w:rFonts w:hint="eastAsia" w:eastAsia="方正小标宋_GBK" w:cs="Times New Roman"/>
          <w:sz w:val="44"/>
          <w:szCs w:val="44"/>
          <w:lang w:eastAsia="zh-CN"/>
        </w:rPr>
        <w:t>《</w:t>
      </w:r>
      <w:r>
        <w:rPr>
          <w:rFonts w:hint="default" w:ascii="Times New Roman" w:hAnsi="Times New Roman" w:eastAsia="方正小标宋_GBK" w:cs="Times New Roman"/>
          <w:sz w:val="44"/>
          <w:szCs w:val="44"/>
        </w:rPr>
        <w:t>云南省科技保险险种保费补助资金</w:t>
      </w:r>
    </w:p>
    <w:p w14:paraId="514FD7E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lang w:eastAsia="zh-CN"/>
        </w:rPr>
      </w:pPr>
      <w:r>
        <w:rPr>
          <w:rFonts w:hint="eastAsia" w:eastAsia="方正小标宋_GBK" w:cs="Times New Roman"/>
          <w:sz w:val="44"/>
          <w:szCs w:val="44"/>
          <w:lang w:eastAsia="zh-CN"/>
        </w:rPr>
        <w:t>实施细则（征求意见稿）》的修订</w:t>
      </w:r>
      <w:r>
        <w:rPr>
          <w:rFonts w:hint="default" w:ascii="Times New Roman" w:hAnsi="Times New Roman" w:eastAsia="方正小标宋_GBK" w:cs="Times New Roman"/>
          <w:sz w:val="44"/>
          <w:szCs w:val="44"/>
          <w:lang w:eastAsia="zh-CN"/>
        </w:rPr>
        <w:t>说明</w:t>
      </w:r>
    </w:p>
    <w:p w14:paraId="0E315DD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lang w:val="en-US" w:eastAsia="zh-CN"/>
        </w:rPr>
      </w:pPr>
    </w:p>
    <w:p w14:paraId="02A85D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为做深做实科技金融大文章，充分运用科技保险手段，切实有效分散、分担科技型企业研发经营风险，省科技厅在《云南省科技保险险种保费补助资金实施细则》（以下简称“原细则”）基础上，结合前期实施情况，根据新形势、新要求，起草了《云南省科技保险险种保费补助资金实施细则（征求意见稿）》（以下简称《征求意见稿》），现</w:t>
      </w:r>
      <w:bookmarkStart w:id="0" w:name="_GoBack"/>
      <w:bookmarkEnd w:id="0"/>
      <w:r>
        <w:rPr>
          <w:rFonts w:hint="eastAsia" w:eastAsia="方正仿宋_GBK" w:cs="Times New Roman"/>
          <w:sz w:val="32"/>
          <w:szCs w:val="32"/>
          <w:lang w:val="en-US" w:eastAsia="zh-CN"/>
        </w:rPr>
        <w:t>说明如下：</w:t>
      </w:r>
    </w:p>
    <w:p w14:paraId="355E7E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960" w:firstLineChars="300"/>
        <w:jc w:val="both"/>
        <w:textAlignment w:val="auto"/>
        <w:outlineLvl w:val="9"/>
        <w:rPr>
          <w:rFonts w:hint="default" w:ascii="Times New Roman" w:hAnsi="Times New Roman" w:eastAsia="方正黑体_GBK" w:cs="Times New Roman"/>
          <w:sz w:val="32"/>
          <w:szCs w:val="32"/>
          <w:lang w:val="en-US" w:eastAsia="zh-CN"/>
        </w:rPr>
      </w:pPr>
      <w:r>
        <w:rPr>
          <w:rFonts w:hint="eastAsia" w:eastAsia="方正黑体_GBK" w:cs="Times New Roman"/>
          <w:sz w:val="32"/>
          <w:szCs w:val="32"/>
          <w:lang w:val="en-US" w:eastAsia="zh-CN"/>
        </w:rPr>
        <w:t>修订</w:t>
      </w:r>
      <w:r>
        <w:rPr>
          <w:rFonts w:hint="default" w:ascii="Times New Roman" w:hAnsi="Times New Roman" w:eastAsia="方正黑体_GBK" w:cs="Times New Roman"/>
          <w:sz w:val="32"/>
          <w:szCs w:val="32"/>
          <w:lang w:val="en-US" w:eastAsia="zh-CN"/>
        </w:rPr>
        <w:t>的背景及必要性</w:t>
      </w:r>
    </w:p>
    <w:p w14:paraId="5C32A0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 xml:space="preserve">  </w:t>
      </w:r>
      <w:r>
        <w:rPr>
          <w:rFonts w:hint="eastAsia" w:eastAsia="方正黑体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2023年以来，国家、省陆续出台了科技金融新政策。中央金融工作会提出“做好科技金融、绿色金融、普惠金融、养老金融、数字金融五篇大文章。二十届三中全会审定通过的《中共中央关于进一步全面深化改革推进中国式现代化的决定》提出：构建同科技创新相适应的科技金融体制，加强对国家重大科技任务和科技型中小企业的金融支持，完善长期资本投早、投小、投长期、投硬科技的支持政策。健全重大技术攻关风险分散机制，建立科技保险政策体系。”2023-2025期间，国家、省多个文件均提到科技金融有关工作要求。如2023年，省政府办公厅印发《云南省政府办公厅关于加大力度支持科技型企业融资行动实施方案的通知》，2024年人民银行、科技部等7部门联合印发《关于扎实做好科技金融大文章的工作方案》。2025年人民银行云南省分行等10部门关于印发《科技金融赋能云南省创新发展三年行动方案（2025-2027年）》的通知，为落实好国家、省关于“科技金融”篇章要求，</w:t>
      </w:r>
      <w:r>
        <w:rPr>
          <w:rFonts w:hint="eastAsia" w:eastAsia="方正仿宋_GBK" w:cs="Times New Roman"/>
          <w:sz w:val="32"/>
          <w:szCs w:val="32"/>
          <w:lang w:val="en-US" w:eastAsia="zh-CN"/>
        </w:rPr>
        <w:t>进一步</w:t>
      </w:r>
      <w:r>
        <w:rPr>
          <w:rFonts w:hint="eastAsia" w:ascii="Times New Roman" w:hAnsi="Times New Roman" w:eastAsia="方正仿宋_GBK" w:cs="Times New Roman"/>
          <w:sz w:val="32"/>
          <w:szCs w:val="32"/>
          <w:lang w:val="en-US" w:eastAsia="zh-CN"/>
        </w:rPr>
        <w:t>建立</w:t>
      </w:r>
      <w:r>
        <w:rPr>
          <w:rFonts w:hint="eastAsia" w:eastAsia="方正仿宋_GBK" w:cs="Times New Roman"/>
          <w:sz w:val="32"/>
          <w:szCs w:val="32"/>
          <w:lang w:val="en-US" w:eastAsia="zh-CN"/>
        </w:rPr>
        <w:t>健全</w:t>
      </w:r>
      <w:r>
        <w:rPr>
          <w:rFonts w:hint="eastAsia" w:ascii="Times New Roman" w:hAnsi="Times New Roman" w:eastAsia="方正仿宋_GBK" w:cs="Times New Roman"/>
          <w:sz w:val="32"/>
          <w:szCs w:val="32"/>
          <w:lang w:val="en-US" w:eastAsia="zh-CN"/>
        </w:rPr>
        <w:t>科技保险政策体系</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修订《云南省科技保险险种保费补助资金实施细则》。</w:t>
      </w:r>
    </w:p>
    <w:p w14:paraId="7921A22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二、修订政策调研及征求意见情况</w:t>
      </w:r>
    </w:p>
    <w:p w14:paraId="76058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实地调研。20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年-20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年，省科技厅对</w:t>
      </w:r>
      <w:r>
        <w:rPr>
          <w:rFonts w:hint="eastAsia" w:ascii="Times New Roman" w:hAnsi="Times New Roman" w:eastAsia="方正仿宋_GBK" w:cs="Times New Roman"/>
          <w:sz w:val="32"/>
          <w:szCs w:val="32"/>
          <w:lang w:val="en-US" w:eastAsia="zh-CN"/>
        </w:rPr>
        <w:t>成都、重庆、济南等</w:t>
      </w:r>
      <w:r>
        <w:rPr>
          <w:rFonts w:hint="default" w:ascii="Times New Roman" w:hAnsi="Times New Roman" w:eastAsia="方正仿宋_GBK" w:cs="Times New Roman"/>
          <w:sz w:val="32"/>
          <w:szCs w:val="32"/>
          <w:lang w:val="en-US" w:eastAsia="zh-CN"/>
        </w:rPr>
        <w:t>全国发达省份（城市）进行了科技</w:t>
      </w:r>
      <w:r>
        <w:rPr>
          <w:rFonts w:hint="eastAsia" w:eastAsia="方正仿宋_GBK" w:cs="Times New Roman"/>
          <w:sz w:val="32"/>
          <w:szCs w:val="32"/>
          <w:lang w:val="en-US" w:eastAsia="zh-CN"/>
        </w:rPr>
        <w:t>保险</w:t>
      </w:r>
      <w:r>
        <w:rPr>
          <w:rFonts w:hint="default" w:ascii="Times New Roman" w:hAnsi="Times New Roman" w:eastAsia="方正仿宋_GBK" w:cs="Times New Roman"/>
          <w:sz w:val="32"/>
          <w:szCs w:val="32"/>
          <w:lang w:val="en-US" w:eastAsia="zh-CN"/>
        </w:rPr>
        <w:t>工作调研，并对相关政策实施</w:t>
      </w:r>
      <w:r>
        <w:rPr>
          <w:rFonts w:hint="eastAsia" w:ascii="Times New Roman" w:hAnsi="Times New Roman" w:eastAsia="方正仿宋_GBK" w:cs="Times New Roman"/>
          <w:sz w:val="32"/>
          <w:szCs w:val="32"/>
          <w:lang w:val="en-US" w:eastAsia="zh-CN"/>
        </w:rPr>
        <w:t>情况</w:t>
      </w:r>
      <w:r>
        <w:rPr>
          <w:rFonts w:hint="default" w:ascii="Times New Roman" w:hAnsi="Times New Roman" w:eastAsia="方正仿宋_GBK" w:cs="Times New Roman"/>
          <w:sz w:val="32"/>
          <w:szCs w:val="32"/>
          <w:lang w:val="en-US" w:eastAsia="zh-CN"/>
        </w:rPr>
        <w:t>持续关注</w:t>
      </w:r>
      <w:r>
        <w:rPr>
          <w:rFonts w:hint="eastAsia" w:ascii="Times New Roman" w:hAnsi="Times New Roman" w:eastAsia="方正仿宋_GBK" w:cs="Times New Roman"/>
          <w:sz w:val="32"/>
          <w:szCs w:val="32"/>
          <w:lang w:val="en-US" w:eastAsia="zh-CN"/>
        </w:rPr>
        <w:t>其</w:t>
      </w:r>
      <w:r>
        <w:rPr>
          <w:rFonts w:hint="default" w:ascii="Times New Roman" w:hAnsi="Times New Roman" w:eastAsia="方正仿宋_GBK" w:cs="Times New Roman"/>
          <w:sz w:val="32"/>
          <w:szCs w:val="32"/>
          <w:lang w:val="en-US" w:eastAsia="zh-CN"/>
        </w:rPr>
        <w:t>动态。</w:t>
      </w:r>
    </w:p>
    <w:p w14:paraId="47B2AB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 </w:t>
      </w:r>
      <w:r>
        <w:rPr>
          <w:rFonts w:hint="eastAsia" w:ascii="Times New Roman" w:hAnsi="Times New Roman" w:eastAsia="方正仿宋_GBK" w:cs="Times New Roman"/>
          <w:sz w:val="32"/>
          <w:szCs w:val="32"/>
          <w:lang w:val="en-US" w:eastAsia="zh-CN"/>
        </w:rPr>
        <w:t>征求修改意见</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2024年，向全省21家保险机构征求原办法《云南省科技保险险种保费补助资金实施细则》修改意见，</w:t>
      </w: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家</w:t>
      </w:r>
      <w:r>
        <w:rPr>
          <w:rFonts w:hint="eastAsia" w:eastAsia="方正仿宋_GBK" w:cs="Times New Roman"/>
          <w:sz w:val="32"/>
          <w:szCs w:val="32"/>
          <w:lang w:val="en-US" w:eastAsia="zh-CN"/>
        </w:rPr>
        <w:t>保险</w:t>
      </w:r>
      <w:r>
        <w:rPr>
          <w:rFonts w:hint="eastAsia" w:ascii="Times New Roman" w:hAnsi="Times New Roman" w:eastAsia="方正仿宋_GBK" w:cs="Times New Roman"/>
          <w:sz w:val="32"/>
          <w:szCs w:val="32"/>
          <w:lang w:val="en-US" w:eastAsia="zh-CN"/>
        </w:rPr>
        <w:t>机构结合工作实际反馈了修改意见和建议，省科技厅认真研究，采纳了部分意见建议融入到新修订的办法中。</w:t>
      </w:r>
    </w:p>
    <w:p w14:paraId="263417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（二）征求意见情况</w:t>
      </w:r>
    </w:p>
    <w:p w14:paraId="137958A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eastAsia="方正仿宋_GBK"/>
          <w:sz w:val="32"/>
          <w:szCs w:val="32"/>
          <w:lang w:val="en-US" w:eastAsia="zh-CN"/>
        </w:rPr>
      </w:pPr>
      <w:r>
        <w:rPr>
          <w:rFonts w:hint="eastAsia" w:eastAsia="方正仿宋_GBK"/>
          <w:sz w:val="32"/>
          <w:szCs w:val="32"/>
          <w:lang w:val="en-US" w:eastAsia="zh-CN"/>
        </w:rPr>
        <w:t xml:space="preserve">    （根据工作进展逐项开展补充）</w:t>
      </w:r>
    </w:p>
    <w:p w14:paraId="2F48E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（三）专家论证情况</w:t>
      </w:r>
    </w:p>
    <w:p w14:paraId="54AC1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eastAsia" w:eastAsia="方正仿宋_GBK"/>
          <w:sz w:val="32"/>
          <w:szCs w:val="32"/>
          <w:lang w:val="en-US" w:eastAsia="zh-CN"/>
        </w:rPr>
      </w:pPr>
      <w:r>
        <w:rPr>
          <w:rFonts w:hint="eastAsia" w:eastAsia="方正仿宋_GBK"/>
          <w:sz w:val="32"/>
          <w:szCs w:val="32"/>
          <w:lang w:val="en-US" w:eastAsia="zh-CN"/>
        </w:rPr>
        <w:t>（根据依据工作进展逐项开展补充）</w:t>
      </w:r>
    </w:p>
    <w:p w14:paraId="12B57DF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修订的主要内容及创新点</w:t>
      </w:r>
    </w:p>
    <w:p w14:paraId="7367E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eastAsia="方正仿宋_GBK"/>
          <w:sz w:val="32"/>
          <w:szCs w:val="32"/>
          <w:lang w:val="en-US" w:eastAsia="zh-CN"/>
        </w:rPr>
      </w:pPr>
      <w:r>
        <w:rPr>
          <w:rFonts w:hint="eastAsia" w:ascii="方正楷体_GBK" w:hAnsi="方正楷体_GBK" w:eastAsia="方正楷体_GBK" w:cs="方正楷体_GBK"/>
          <w:sz w:val="32"/>
          <w:szCs w:val="32"/>
          <w:lang w:val="en-US" w:eastAsia="zh-CN"/>
        </w:rPr>
        <w:t>（一）完善科技创新券在科技保险领域应用机制。</w:t>
      </w:r>
      <w:r>
        <w:rPr>
          <w:rFonts w:hint="eastAsia" w:eastAsia="方正仿宋_GBK"/>
          <w:sz w:val="32"/>
          <w:szCs w:val="32"/>
          <w:lang w:val="en-US" w:eastAsia="zh-CN"/>
        </w:rPr>
        <w:t>依据《云南省省级科技创新券管理办法》要求及工作实际情况，在《征求意见稿》中，鼓励保险机构加入省级科技创新券服务机构，通过收取省级科技创新券方式申请兑付科技保险保费。</w:t>
      </w:r>
    </w:p>
    <w:p w14:paraId="1778C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eastAsia="方正仿宋_GBK"/>
          <w:sz w:val="32"/>
          <w:szCs w:val="32"/>
          <w:lang w:val="en-US" w:eastAsia="zh-CN"/>
        </w:rPr>
      </w:pPr>
      <w:r>
        <w:rPr>
          <w:rFonts w:hint="eastAsia" w:ascii="方正楷体_GBK" w:hAnsi="方正楷体_GBK" w:eastAsia="方正楷体_GBK" w:cs="方正楷体_GBK"/>
          <w:sz w:val="32"/>
          <w:szCs w:val="32"/>
          <w:lang w:val="en-US" w:eastAsia="zh-CN"/>
        </w:rPr>
        <w:t>（二）加强专项资金补助后退保情况核查。</w:t>
      </w:r>
      <w:r>
        <w:rPr>
          <w:rFonts w:hint="eastAsia" w:eastAsia="方正仿宋_GBK"/>
          <w:sz w:val="32"/>
          <w:szCs w:val="32"/>
          <w:lang w:val="en-US" w:eastAsia="zh-CN"/>
        </w:rPr>
        <w:t>根据工作实际情况，明确投保人购买科技保险险种后，或获得专项资金后要求退保的，保险机构应在每年度12月31日前书面通知省科技厅。因未及时通知省科技厅造成财政补助资金损失的，查实后，省科技厅不再将相关保险机构承保的科技保险险种列入财政资金补助范围。省科技厅有权收回不符合补助条件的资金。</w:t>
      </w:r>
    </w:p>
    <w:p w14:paraId="184E8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四、《征求意见稿》主要内容</w:t>
      </w:r>
    </w:p>
    <w:p w14:paraId="0683D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细则共5章，14条。从科技保险定位、支持险种类别范围，对应补助比例等</w:t>
      </w:r>
      <w:r>
        <w:rPr>
          <w:rFonts w:hint="eastAsia" w:ascii="Times New Roman" w:hAnsi="Times New Roman" w:eastAsia="方正仿宋_GBK" w:cs="Times New Roman"/>
          <w:sz w:val="32"/>
          <w:szCs w:val="32"/>
          <w:lang w:val="en-US" w:eastAsia="zh-CN"/>
        </w:rPr>
        <w:t>规范</w:t>
      </w:r>
      <w:r>
        <w:rPr>
          <w:rFonts w:hint="eastAsia" w:eastAsia="方正仿宋_GBK" w:cs="Times New Roman"/>
          <w:sz w:val="32"/>
          <w:szCs w:val="32"/>
          <w:lang w:val="en-US" w:eastAsia="zh-CN"/>
        </w:rPr>
        <w:t>保费</w:t>
      </w:r>
      <w:r>
        <w:rPr>
          <w:rFonts w:hint="eastAsia" w:ascii="Times New Roman" w:hAnsi="Times New Roman" w:eastAsia="方正仿宋_GBK" w:cs="Times New Roman"/>
          <w:sz w:val="32"/>
          <w:szCs w:val="32"/>
          <w:lang w:val="en-US" w:eastAsia="zh-CN"/>
        </w:rPr>
        <w:t>补助资金申报及使用</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主要内容为：</w:t>
      </w:r>
    </w:p>
    <w:p w14:paraId="17D6F82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第一章“总则”，共3条。</w:t>
      </w:r>
      <w:r>
        <w:rPr>
          <w:rFonts w:hint="eastAsia" w:ascii="Times New Roman" w:hAnsi="Times New Roman" w:eastAsia="方正仿宋_GBK" w:cs="Times New Roman"/>
          <w:sz w:val="32"/>
          <w:szCs w:val="32"/>
          <w:lang w:val="en-US" w:eastAsia="zh-CN"/>
        </w:rPr>
        <w:t>主要明确</w:t>
      </w:r>
      <w:r>
        <w:rPr>
          <w:rFonts w:hint="eastAsia" w:eastAsia="方正仿宋_GBK" w:cs="Times New Roman"/>
          <w:sz w:val="32"/>
          <w:szCs w:val="32"/>
          <w:lang w:val="en-US" w:eastAsia="zh-CN"/>
        </w:rPr>
        <w:t>开展科技保险工作目的，保费补助资金来源，</w:t>
      </w:r>
      <w:r>
        <w:rPr>
          <w:rFonts w:hint="eastAsia" w:ascii="Times New Roman" w:hAnsi="Times New Roman" w:eastAsia="方正仿宋_GBK" w:cs="Times New Roman"/>
          <w:sz w:val="32"/>
          <w:szCs w:val="32"/>
          <w:lang w:val="en-US" w:eastAsia="zh-CN"/>
        </w:rPr>
        <w:t>支持</w:t>
      </w:r>
      <w:r>
        <w:rPr>
          <w:rFonts w:hint="eastAsia" w:eastAsia="方正仿宋_GBK" w:cs="Times New Roman"/>
          <w:sz w:val="32"/>
          <w:szCs w:val="32"/>
          <w:lang w:val="en-US" w:eastAsia="zh-CN"/>
        </w:rPr>
        <w:t>范围</w:t>
      </w:r>
      <w:r>
        <w:rPr>
          <w:rFonts w:hint="eastAsia" w:ascii="Times New Roman" w:hAnsi="Times New Roman" w:eastAsia="方正仿宋_GBK" w:cs="Times New Roman"/>
          <w:sz w:val="32"/>
          <w:szCs w:val="32"/>
          <w:lang w:val="en-US" w:eastAsia="zh-CN"/>
        </w:rPr>
        <w:t>。</w:t>
      </w:r>
    </w:p>
    <w:p w14:paraId="0D09E14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第二章</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科技保险险种遴选</w:t>
      </w:r>
      <w:r>
        <w:rPr>
          <w:rFonts w:hint="eastAsia" w:eastAsia="方正仿宋_GBK" w:cs="Times New Roman"/>
          <w:sz w:val="32"/>
          <w:szCs w:val="32"/>
          <w:lang w:val="en-US" w:eastAsia="zh-CN"/>
        </w:rPr>
        <w:t>”，共3条。主要明确科技保险险种遴选基本条件及对保险机构推广科技保险险种的工作要求。</w:t>
      </w:r>
    </w:p>
    <w:p w14:paraId="10006E7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第三章</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科技保险</w:t>
      </w:r>
      <w:r>
        <w:rPr>
          <w:rFonts w:hint="eastAsia" w:eastAsia="方正仿宋_GBK" w:cs="Times New Roman"/>
          <w:sz w:val="32"/>
          <w:szCs w:val="32"/>
          <w:lang w:val="en-US" w:eastAsia="zh-CN"/>
        </w:rPr>
        <w:t>险种</w:t>
      </w:r>
      <w:r>
        <w:rPr>
          <w:rFonts w:hint="eastAsia" w:ascii="Times New Roman" w:hAnsi="Times New Roman" w:eastAsia="方正仿宋_GBK" w:cs="Times New Roman"/>
          <w:sz w:val="32"/>
          <w:szCs w:val="32"/>
          <w:lang w:val="en-US" w:eastAsia="zh-CN"/>
        </w:rPr>
        <w:t>保费补助标准</w:t>
      </w:r>
      <w:r>
        <w:rPr>
          <w:rFonts w:hint="eastAsia" w:eastAsia="方正仿宋_GBK" w:cs="Times New Roman"/>
          <w:sz w:val="32"/>
          <w:szCs w:val="32"/>
          <w:lang w:val="en-US" w:eastAsia="zh-CN"/>
        </w:rPr>
        <w:t>及范围”，共2条。主要明确分类补助标准及完善科技创新券在科技保险领域应用机制。</w:t>
      </w:r>
    </w:p>
    <w:p w14:paraId="5E063CE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第四章“申报与管理”，共3条。主要明确申报流程及发生退保处理方式等。</w:t>
      </w:r>
    </w:p>
    <w:p w14:paraId="6896986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第五章“附则”，共2条。主要明确办法有效期，废止前期执行的文件。</w:t>
      </w:r>
    </w:p>
    <w:p w14:paraId="21DFD60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77C2F"/>
    <w:multiLevelType w:val="singleLevel"/>
    <w:tmpl w:val="95977C2F"/>
    <w:lvl w:ilvl="0" w:tentative="0">
      <w:start w:val="1"/>
      <w:numFmt w:val="chineseCounting"/>
      <w:suff w:val="nothing"/>
      <w:lvlText w:val="%1、"/>
      <w:lvlJc w:val="left"/>
      <w:rPr>
        <w:rFonts w:hint="eastAsia"/>
      </w:rPr>
    </w:lvl>
  </w:abstractNum>
  <w:abstractNum w:abstractNumId="1">
    <w:nsid w:val="AB631132"/>
    <w:multiLevelType w:val="singleLevel"/>
    <w:tmpl w:val="AB631132"/>
    <w:lvl w:ilvl="0" w:tentative="0">
      <w:start w:val="1"/>
      <w:numFmt w:val="chineseCounting"/>
      <w:suff w:val="nothing"/>
      <w:lvlText w:val="（%1）"/>
      <w:lvlJc w:val="left"/>
      <w:rPr>
        <w:rFonts w:hint="eastAsia"/>
      </w:rPr>
    </w:lvl>
  </w:abstractNum>
  <w:abstractNum w:abstractNumId="2">
    <w:nsid w:val="43CE71AA"/>
    <w:multiLevelType w:val="singleLevel"/>
    <w:tmpl w:val="43CE71AA"/>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D619B"/>
    <w:rsid w:val="04C20BDC"/>
    <w:rsid w:val="0581590E"/>
    <w:rsid w:val="064576F4"/>
    <w:rsid w:val="0B290456"/>
    <w:rsid w:val="13931011"/>
    <w:rsid w:val="15CE4FB1"/>
    <w:rsid w:val="1908558D"/>
    <w:rsid w:val="1DD77C1F"/>
    <w:rsid w:val="1FE61A4B"/>
    <w:rsid w:val="21914277"/>
    <w:rsid w:val="251101B4"/>
    <w:rsid w:val="265E3A55"/>
    <w:rsid w:val="2F7910F2"/>
    <w:rsid w:val="3DD87D6B"/>
    <w:rsid w:val="3DFF3944"/>
    <w:rsid w:val="3E1E47C5"/>
    <w:rsid w:val="3F8C007A"/>
    <w:rsid w:val="415204EF"/>
    <w:rsid w:val="45406F3C"/>
    <w:rsid w:val="48454719"/>
    <w:rsid w:val="48795B9F"/>
    <w:rsid w:val="4C016FA6"/>
    <w:rsid w:val="4E9A1000"/>
    <w:rsid w:val="4E9D222D"/>
    <w:rsid w:val="55897FA2"/>
    <w:rsid w:val="56B12639"/>
    <w:rsid w:val="58EA3363"/>
    <w:rsid w:val="5BBB3B71"/>
    <w:rsid w:val="5E945F62"/>
    <w:rsid w:val="5F9D373A"/>
    <w:rsid w:val="64716B0B"/>
    <w:rsid w:val="649108E3"/>
    <w:rsid w:val="6BC145AD"/>
    <w:rsid w:val="6EAE607C"/>
    <w:rsid w:val="6F501F5B"/>
    <w:rsid w:val="6FEA6D2C"/>
    <w:rsid w:val="74D63EAD"/>
    <w:rsid w:val="7575513C"/>
    <w:rsid w:val="77704282"/>
    <w:rsid w:val="7C784021"/>
    <w:rsid w:val="7CE90B8C"/>
    <w:rsid w:val="7D6E4795"/>
    <w:rsid w:val="7D8D1752"/>
    <w:rsid w:val="7F5C7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252525"/>
      <w:u w:val="none"/>
    </w:rPr>
  </w:style>
  <w:style w:type="character" w:styleId="8">
    <w:name w:val="Emphasis"/>
    <w:basedOn w:val="6"/>
    <w:qFormat/>
    <w:uiPriority w:val="0"/>
  </w:style>
  <w:style w:type="character" w:styleId="9">
    <w:name w:val="Hyperlink"/>
    <w:basedOn w:val="6"/>
    <w:qFormat/>
    <w:uiPriority w:val="0"/>
    <w:rPr>
      <w:color w:val="252525"/>
      <w:u w:val="none"/>
    </w:rPr>
  </w:style>
  <w:style w:type="character" w:styleId="10">
    <w:name w:val="HTML Cite"/>
    <w:basedOn w:val="6"/>
    <w:qFormat/>
    <w:uiPriority w:val="0"/>
  </w:style>
  <w:style w:type="character" w:customStyle="1" w:styleId="11">
    <w:name w:val="fr"/>
    <w:basedOn w:val="6"/>
    <w:qFormat/>
    <w:uiPriority w:val="0"/>
  </w:style>
  <w:style w:type="character" w:customStyle="1" w:styleId="12">
    <w:name w:val="last"/>
    <w:basedOn w:val="6"/>
    <w:qFormat/>
    <w:uiPriority w:val="0"/>
  </w:style>
  <w:style w:type="character" w:customStyle="1" w:styleId="13">
    <w:name w:val="dzbtn"/>
    <w:basedOn w:val="6"/>
    <w:qFormat/>
    <w:uiPriority w:val="0"/>
    <w:rPr>
      <w:color w:val="1C439E"/>
    </w:rPr>
  </w:style>
  <w:style w:type="character" w:customStyle="1" w:styleId="14">
    <w:name w:val="ic02"/>
    <w:basedOn w:val="6"/>
    <w:qFormat/>
    <w:uiPriority w:val="0"/>
  </w:style>
  <w:style w:type="character" w:customStyle="1" w:styleId="15">
    <w:name w:val="bdshare-stylish-trigger"/>
    <w:basedOn w:val="6"/>
    <w:qFormat/>
    <w:uiPriority w:val="0"/>
    <w:rPr>
      <w:color w:val="666666"/>
      <w:sz w:val="18"/>
      <w:szCs w:val="18"/>
    </w:rPr>
  </w:style>
  <w:style w:type="character" w:customStyle="1" w:styleId="16">
    <w:name w:val="spanleft"/>
    <w:basedOn w:val="6"/>
    <w:qFormat/>
    <w:uiPriority w:val="0"/>
    <w:rPr>
      <w:color w:val="C01539"/>
      <w:u w:val="single"/>
    </w:rPr>
  </w:style>
  <w:style w:type="character" w:customStyle="1" w:styleId="17">
    <w:name w:val="ic03"/>
    <w:basedOn w:val="6"/>
    <w:qFormat/>
    <w:uiPriority w:val="0"/>
  </w:style>
  <w:style w:type="character" w:customStyle="1" w:styleId="18">
    <w:name w:val="ic01"/>
    <w:basedOn w:val="6"/>
    <w:qFormat/>
    <w:uiPriority w:val="0"/>
  </w:style>
  <w:style w:type="character" w:customStyle="1" w:styleId="19">
    <w:name w:val="on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云南省科学技术厅</Company>
  <Pages>4</Pages>
  <Words>1714</Words>
  <Characters>1796</Characters>
  <Lines>0</Lines>
  <Paragraphs>0</Paragraphs>
  <TotalTime>15</TotalTime>
  <ScaleCrop>false</ScaleCrop>
  <LinksUpToDate>false</LinksUpToDate>
  <CharactersWithSpaces>1806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2020-01-01T07:18:00Z</dcterms:created>
  <dc:creator>jitang2018</dc:creator>
  <cp:lastModifiedBy>郭璐璐</cp:lastModifiedBy>
  <dcterms:modified xsi:type="dcterms:W3CDTF">2025-05-09T01:03:53Z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eyJoZGlkIjoiZTk5NDNhN2U3MmYyOTllY2I2OTUwN2QyMjk5ZDc2MWQiLCJ1c2VySWQiOiIxNjgzMjczNzc1In0=</vt:lpwstr>
  </property>
  <property fmtid="{D5CDD505-2E9C-101B-9397-08002B2CF9AE}" pid="4" name="ICV">
    <vt:lpwstr>1C7266847EFD4DAEB61201D41BFDC30B_12</vt:lpwstr>
  </property>
</Properties>
</file>