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641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Style w:val="12"/>
          <w:rFonts w:hint="default" w:ascii="Times New Roman" w:hAnsi="Times New Roman" w:eastAsia="方正小标宋_GBK" w:cs="Times New Roman"/>
          <w:b w:val="0"/>
          <w:bCs/>
          <w:i w:val="0"/>
          <w:iCs w:val="0"/>
          <w:caps w:val="0"/>
          <w:color w:val="000000" w:themeColor="text1"/>
          <w:spacing w:val="0"/>
          <w:sz w:val="44"/>
          <w:szCs w:val="44"/>
          <w14:textFill>
            <w14:solidFill>
              <w14:schemeClr w14:val="tx1"/>
            </w14:solidFill>
          </w14:textFill>
        </w:rPr>
        <w:t>云南省科技创新容错纠错实施办法</w:t>
      </w:r>
    </w:p>
    <w:p w14:paraId="68BC85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Style w:val="12"/>
          <w:rFonts w:hint="eastAsia" w:ascii="Times New Roman" w:hAnsi="Times New Roman" w:eastAsia="方正黑体_GBK" w:cs="Times New Roman"/>
          <w:b w:val="0"/>
          <w:bCs/>
          <w:i w:val="0"/>
          <w:iCs w:val="0"/>
          <w:caps w:val="0"/>
          <w:color w:val="000000" w:themeColor="text1"/>
          <w:spacing w:val="0"/>
          <w:sz w:val="32"/>
          <w:szCs w:val="32"/>
          <w:lang w:eastAsia="zh-CN"/>
          <w14:textFill>
            <w14:solidFill>
              <w14:schemeClr w14:val="tx1"/>
            </w14:solidFill>
          </w14:textFill>
        </w:rPr>
      </w:pPr>
      <w:r>
        <w:rPr>
          <w:rStyle w:val="12"/>
          <w:rFonts w:hint="eastAsia" w:ascii="Times New Roman" w:hAnsi="Times New Roman" w:eastAsia="方正黑体_GBK" w:cs="Times New Roman"/>
          <w:b w:val="0"/>
          <w:bCs/>
          <w:i w:val="0"/>
          <w:iCs w:val="0"/>
          <w:caps w:val="0"/>
          <w:color w:val="000000" w:themeColor="text1"/>
          <w:spacing w:val="0"/>
          <w:sz w:val="32"/>
          <w:szCs w:val="32"/>
          <w:lang w:eastAsia="zh-CN"/>
          <w14:textFill>
            <w14:solidFill>
              <w14:schemeClr w14:val="tx1"/>
            </w14:solidFill>
          </w14:textFill>
        </w:rPr>
        <w:t>（</w:t>
      </w:r>
      <w:r>
        <w:rPr>
          <w:rStyle w:val="12"/>
          <w:rFonts w:hint="eastAsia" w:ascii="Times New Roman" w:hAnsi="Times New Roman" w:eastAsia="方正黑体_GBK" w:cs="Times New Roman"/>
          <w:b w:val="0"/>
          <w:bCs/>
          <w:i w:val="0"/>
          <w:iCs w:val="0"/>
          <w:caps w:val="0"/>
          <w:color w:val="000000" w:themeColor="text1"/>
          <w:spacing w:val="0"/>
          <w:sz w:val="32"/>
          <w:szCs w:val="32"/>
          <w:lang w:val="en-US" w:eastAsia="zh-CN"/>
          <w14:textFill>
            <w14:solidFill>
              <w14:schemeClr w14:val="tx1"/>
            </w14:solidFill>
          </w14:textFill>
        </w:rPr>
        <w:t>征求意见稿</w:t>
      </w:r>
      <w:r>
        <w:rPr>
          <w:rStyle w:val="12"/>
          <w:rFonts w:hint="eastAsia" w:ascii="Times New Roman" w:hAnsi="Times New Roman" w:eastAsia="方正黑体_GBK" w:cs="Times New Roman"/>
          <w:b w:val="0"/>
          <w:bCs/>
          <w:i w:val="0"/>
          <w:iCs w:val="0"/>
          <w:caps w:val="0"/>
          <w:color w:val="000000" w:themeColor="text1"/>
          <w:spacing w:val="0"/>
          <w:sz w:val="32"/>
          <w:szCs w:val="32"/>
          <w:lang w:eastAsia="zh-CN"/>
          <w14:textFill>
            <w14:solidFill>
              <w14:schemeClr w14:val="tx1"/>
            </w14:solidFill>
          </w14:textFill>
        </w:rPr>
        <w:t>）</w:t>
      </w:r>
    </w:p>
    <w:p w14:paraId="546765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pPr>
      <w:bookmarkStart w:id="0" w:name="_GoBack"/>
      <w:bookmarkEnd w:id="0"/>
    </w:p>
    <w:p w14:paraId="4E888A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方正黑体_GBK" w:cs="Times New Roman"/>
          <w:b w:val="0"/>
          <w:bCs/>
          <w:color w:val="000000" w:themeColor="text1"/>
          <w:sz w:val="32"/>
          <w:szCs w:val="32"/>
          <w14:textFill>
            <w14:solidFill>
              <w14:schemeClr w14:val="tx1"/>
            </w14:solidFill>
          </w14:textFill>
        </w:rPr>
      </w:pPr>
      <w:r>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第一章</w:t>
      </w:r>
      <w:r>
        <w:rPr>
          <w:rStyle w:val="12"/>
          <w:rFonts w:hint="default" w:ascii="Times New Roman" w:hAnsi="Times New Roman" w:eastAsia="方正黑体_GBK" w:cs="Times New Roman"/>
          <w:b w:val="0"/>
          <w:bCs/>
          <w:i w:val="0"/>
          <w:iCs w:val="0"/>
          <w:caps w:val="0"/>
          <w:color w:val="000000" w:themeColor="text1"/>
          <w:spacing w:val="0"/>
          <w:sz w:val="32"/>
          <w:szCs w:val="32"/>
          <w:lang w:val="en-US" w:eastAsia="zh-CN"/>
          <w14:textFill>
            <w14:solidFill>
              <w14:schemeClr w14:val="tx1"/>
            </w14:solidFill>
          </w14:textFill>
        </w:rPr>
        <w:t xml:space="preserve">  </w:t>
      </w:r>
      <w:r>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总</w:t>
      </w:r>
      <w:r>
        <w:rPr>
          <w:rStyle w:val="12"/>
          <w:rFonts w:hint="default" w:ascii="Times New Roman" w:hAnsi="Times New Roman" w:eastAsia="方正黑体_GBK" w:cs="Times New Roman"/>
          <w:b w:val="0"/>
          <w:bCs/>
          <w:i w:val="0"/>
          <w:iCs w:val="0"/>
          <w:caps w:val="0"/>
          <w:color w:val="000000" w:themeColor="text1"/>
          <w:spacing w:val="0"/>
          <w:sz w:val="32"/>
          <w:szCs w:val="32"/>
          <w:lang w:val="en-US" w:eastAsia="zh-CN"/>
          <w14:textFill>
            <w14:solidFill>
              <w14:schemeClr w14:val="tx1"/>
            </w14:solidFill>
          </w14:textFill>
        </w:rPr>
        <w:t xml:space="preserve">  </w:t>
      </w:r>
      <w:r>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则</w:t>
      </w:r>
    </w:p>
    <w:p w14:paraId="683721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第一条</w:t>
      </w:r>
      <w:r>
        <w:rPr>
          <w:rFonts w:hint="default"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为进一步</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鼓励</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科学技术</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人员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以下简称科技人员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积极探索、勇于创新，营造鼓励创新、宽容失败、合理容错、敢于担当的良好氛围，根据《中华人民共和国科学技术进步法》</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《中共云南省委办公厅 云南省人民政府办公厅关于印发〈创新驱动高质量发展29条措施〉的通知》</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等文件精神</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结合我省科技创新工作实际，制定本办法。</w:t>
      </w:r>
    </w:p>
    <w:p w14:paraId="39CCBD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第二条</w:t>
      </w:r>
      <w:r>
        <w:rPr>
          <w:rFonts w:hint="default"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基本原则：</w:t>
      </w:r>
    </w:p>
    <w:p w14:paraId="685498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——尊重规律，鼓励创新。充分尊重科技创新规律，重视科研试错探索的价值，支持和保护科</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技</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人员创新的积极性和创造性，消除对创新风险的顾虑，激励广大科</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技</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人员干事创业、担当作为。</w:t>
      </w:r>
    </w:p>
    <w:p w14:paraId="239F79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——实事求是，客观公正。坚持以事实为依据，严格按照“三个区分开来”，对敢</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为</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人先、</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开拓创新</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探索未知</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而出现</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的</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无主观故意的失误和错误，</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与</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弄虚作假、明知故犯、</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谋取私利等违纪违法行为</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区分开来</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，认真甄别，综合研判，合理认定容错免责情形。</w:t>
      </w:r>
    </w:p>
    <w:p w14:paraId="423C42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——依纪依法，容纠并举。构建科学有效的风险防范和纠错机制，动态监管</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科技</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创新活动</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实施情况并实时预警提醒，对存在弄虚作假行为的责任主体依法依规追责，确保容错在</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纪律</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红线、法律底线内进行。</w:t>
      </w:r>
    </w:p>
    <w:p w14:paraId="6076F6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方正黑体_GBK" w:cs="Times New Roman"/>
          <w:b w:val="0"/>
          <w:bCs/>
          <w:color w:val="000000" w:themeColor="text1"/>
          <w:sz w:val="32"/>
          <w:szCs w:val="32"/>
          <w14:textFill>
            <w14:solidFill>
              <w14:schemeClr w14:val="tx1"/>
            </w14:solidFill>
          </w14:textFill>
        </w:rPr>
      </w:pPr>
      <w:r>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第二章</w:t>
      </w:r>
      <w:r>
        <w:rPr>
          <w:rStyle w:val="12"/>
          <w:rFonts w:hint="default" w:ascii="Times New Roman" w:hAnsi="Times New Roman" w:eastAsia="方正黑体_GBK" w:cs="Times New Roman"/>
          <w:b w:val="0"/>
          <w:bCs/>
          <w:i w:val="0"/>
          <w:iCs w:val="0"/>
          <w:caps w:val="0"/>
          <w:color w:val="000000" w:themeColor="text1"/>
          <w:spacing w:val="0"/>
          <w:sz w:val="32"/>
          <w:szCs w:val="32"/>
          <w:lang w:eastAsia="zh-CN"/>
          <w14:textFill>
            <w14:solidFill>
              <w14:schemeClr w14:val="tx1"/>
            </w14:solidFill>
          </w14:textFill>
        </w:rPr>
        <w:t xml:space="preserve">  </w:t>
      </w:r>
      <w:r>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适用情形</w:t>
      </w:r>
    </w:p>
    <w:p w14:paraId="1E970A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第三条</w:t>
      </w:r>
      <w:r>
        <w:rPr>
          <w:rFonts w:hint="default"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容错免责的适用主体及范围：使用</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我</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省</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省级</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财政科技资金开展各类科技创新活动</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具有独立法人资格的企事业</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单位</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其他机构及科技</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人员</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在开展探索性强的科学技术研究开发活动、不确定性及风险性高的成果转化、科技领域股权投资</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等科技创新活动中出现无主观故意的失误</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错误或未达到预期目标，作出容错免责认定的，适用本办法。</w:t>
      </w:r>
    </w:p>
    <w:p w14:paraId="3AA05E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2"/>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第四条</w:t>
      </w:r>
      <w:r>
        <w:rPr>
          <w:rFonts w:hint="default"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符合下列条件，经认定可以给予容错：</w:t>
      </w:r>
    </w:p>
    <w:p w14:paraId="238D61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（一）符合战略决策方向。在贯彻党中央、国务院决策部署和省委、省政府</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工作要求</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中狠抓落实、创造性开展科技工作，因大胆履职，</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存在不可抗力影响或难以预见的因素，</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非因主观故意出现失误，没有造成重大损失的。</w:t>
      </w:r>
    </w:p>
    <w:p w14:paraId="64053C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（二）符合科学决策程序。经过充分论证，按照相关程序实施集体决策，没有超越权限擅自作出决策或个人决定“三重一大”事项，不存在乱作为、违反相关制度和业务流程的情形。</w:t>
      </w:r>
    </w:p>
    <w:p w14:paraId="11DBD0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（三）没有</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谋取私利</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。一心为公推动科技创新工作，没有打着改革的旗号假公济私，为</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个人</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、他人或其他组织谋取不当利益；没有与其他组织或个人恶意串通，损害国家利益、公共利益和他人正当利益。</w:t>
      </w:r>
    </w:p>
    <w:p w14:paraId="728C23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（四）主动担当作为。在推动科技</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创新活动</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中履职尽责、攻坚克难，出现失误的；在化解矛盾纠纷、解决历史遗留问题中主动担责、积极作为，出现失误的。</w:t>
      </w:r>
    </w:p>
    <w:p w14:paraId="6603A6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五</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法律法规</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规定的其他可容错免责情形。</w:t>
      </w:r>
    </w:p>
    <w:p w14:paraId="0FB642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Style w:val="12"/>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第五条</w:t>
      </w:r>
      <w:r>
        <w:rPr>
          <w:rFonts w:hint="default"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符合</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第四条规定的</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条件，</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经认定可以免除相关责任</w:t>
      </w: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的</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主要情形如下：</w:t>
      </w:r>
    </w:p>
    <w:p w14:paraId="21ED12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（一）对在科技创新</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活动</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中</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，积极探索新机制、新方法、新模式、新技术，因在全国无先例可循或政策界限不明确而发生偏差</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或</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失误，在没有违反党的纪律和国家法律法规，符合党中央、国务院决策部署和省委、省政府</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工作要求</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的前提下，能够及时纠错改正的，不作负面评价，免除相关责任。</w:t>
      </w:r>
    </w:p>
    <w:p w14:paraId="1D212F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（二）对财政资助的探索性强、风险性高的科技项目，原始记录证明承担项目的</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单位</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和</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科技</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人员已履行了勤勉</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尽责</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义务仍不能完成的，经第三方专家评议和</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省科技厅</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批准，按项目结题给予验收</w:t>
      </w: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不纳入科研失信行为记录。</w:t>
      </w:r>
    </w:p>
    <w:p w14:paraId="4BD92A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（三）对创新创业项目进行经费资助或风险投资，符合规定条件、标准和程序，但资助项目未达到预期效果</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相关</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单位和个人</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勤勉尽责、</w:t>
      </w: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履行了民主决策程序，</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且</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没有获取非法利益的前提下，免除其决策责任。</w:t>
      </w:r>
    </w:p>
    <w:p w14:paraId="76B357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（四）</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通过持续的研发投入开展技术创新</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与科技成果转化</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，项目投入大、投资周期长，因市场</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变化</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等因素未实现预期收益的</w:t>
      </w: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，相关单位和个人勤勉尽责、履行了民主决策程序，且没有获取非法利益的前提下，免除其决策责任。</w:t>
      </w:r>
    </w:p>
    <w:p w14:paraId="2C7557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五</w:t>
      </w: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推动产业结构调整，实施企业转型升级，在新领域积极</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开展技术创新</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，没有达到预期目标的</w:t>
      </w: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，相关单位和个人勤勉尽责、履行了民主决策程序，且没有获取非法利益的前提下，免除其决策责任。</w:t>
      </w:r>
    </w:p>
    <w:p w14:paraId="3FEB63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六</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在科技成果转让、许可或者作价投资过程中，通过协议、挂牌交易、拍卖等市场化方式确定价格的，单位负责人已按照本单位科技成果转化管理规定履行勤勉尽责义务且没有获取非法利益的，不承担因科技成果转化后续价值变化产生的决策责任。</w:t>
      </w:r>
    </w:p>
    <w:p w14:paraId="5E0A86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七</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）法律法规规定的其他情形。</w:t>
      </w:r>
    </w:p>
    <w:p w14:paraId="6CD395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方正黑体_GBK" w:cs="Times New Roman"/>
          <w:b w:val="0"/>
          <w:bCs/>
          <w:color w:val="000000" w:themeColor="text1"/>
          <w:sz w:val="32"/>
          <w:szCs w:val="32"/>
          <w14:textFill>
            <w14:solidFill>
              <w14:schemeClr w14:val="tx1"/>
            </w14:solidFill>
          </w14:textFill>
        </w:rPr>
      </w:pPr>
      <w:r>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第三章</w:t>
      </w:r>
      <w:r>
        <w:rPr>
          <w:rStyle w:val="12"/>
          <w:rFonts w:hint="default" w:ascii="Times New Roman" w:hAnsi="Times New Roman" w:eastAsia="方正黑体_GBK" w:cs="Times New Roman"/>
          <w:b w:val="0"/>
          <w:bCs/>
          <w:i w:val="0"/>
          <w:iCs w:val="0"/>
          <w:caps w:val="0"/>
          <w:color w:val="000000" w:themeColor="text1"/>
          <w:spacing w:val="0"/>
          <w:sz w:val="32"/>
          <w:szCs w:val="32"/>
          <w:lang w:eastAsia="zh-CN"/>
          <w14:textFill>
            <w14:solidFill>
              <w14:schemeClr w14:val="tx1"/>
            </w14:solidFill>
          </w14:textFill>
        </w:rPr>
        <w:t xml:space="preserve">  </w:t>
      </w:r>
      <w:r>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认定程序</w:t>
      </w:r>
    </w:p>
    <w:p w14:paraId="6428DA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Style w:val="12"/>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第六条</w:t>
      </w:r>
      <w:r>
        <w:rPr>
          <w:rFonts w:hint="default"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相关</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单位或</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个人在科技创新活动中发现失误、错误或未达到预期目标</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，认为符合容错免责适用情形的，经</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责任主体</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单位</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或责任人所在单位</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审核认定后</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以单位名义向</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科技</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厅</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提出书面申请并提交相关材料，包括科技创新容错免责认定申请表</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见附件</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、情况说明及佐证材料</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含专项</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审计报告、</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执行情况总结报告</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等</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p>
    <w:p w14:paraId="2046A3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省科技厅</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收到容错免责申请后，</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应当对照</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容错免责情形</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对相关材料</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进行研判，于7个工作日内向申请单位或</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个</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人反馈受理意见</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启动容错免责程序</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。对不予受理的，</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应</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说明原因。</w:t>
      </w:r>
    </w:p>
    <w:p w14:paraId="3AC2AF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lang w:val="en-US" w:eastAsia="zh-CN"/>
          <w14:textFill>
            <w14:solidFill>
              <w14:schemeClr w14:val="tx1"/>
            </w14:solidFill>
          </w14:textFill>
        </w:rPr>
        <w:t>第七条</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 xml:space="preserve">  省科技厅在科技管理工作中</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发现相关</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单位或</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个人在</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科技创新活动中出现失误</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错误或未达到预期目标</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认为</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符合容错免责适用情形的，应当主动启动容错免责程序。</w:t>
      </w:r>
    </w:p>
    <w:p w14:paraId="0D9768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lang w:val="en-US" w:eastAsia="zh-CN"/>
          <w14:textFill>
            <w14:solidFill>
              <w14:schemeClr w14:val="tx1"/>
            </w14:solidFill>
          </w14:textFill>
        </w:rPr>
        <w:t>第八条</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容错免责</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工作</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按照下列程序办理：</w:t>
      </w:r>
    </w:p>
    <w:p w14:paraId="407F0B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情况核查</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省科技厅成立工作小组，及时开展情况核实</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，充分听取</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相</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关单位或个人的申辩意见，</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必要时组织专家组进行评估</w:t>
      </w:r>
      <w:r>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形成核查报告</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p>
    <w:p w14:paraId="00AA07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）审核认定：根据</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情况核查</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及专家评估情况，在与财政、审计等相关部门充分沟通协调后，</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省科技厅</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对容错免责</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事项</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进行集体审议，作出是否容错免责的决策认定。</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省科技厅应于</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受理之日起14个工作日内作出</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相关</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决定，情况复杂的，经</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省科技厅</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主要领导</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批准，可延长14个工作日。</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情况核查</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过程中需要进行评估</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的</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时间不包含在作出决定的时限内。</w:t>
      </w:r>
    </w:p>
    <w:p w14:paraId="638EFD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）反馈归档：</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省科技厅</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应</w:t>
      </w:r>
      <w:r>
        <w:rPr>
          <w:rFonts w:hint="default" w:ascii="Times New Roman" w:hAnsi="Times New Roman" w:eastAsia="方正仿宋_GBK" w:cs="Times New Roman"/>
          <w:i w:val="0"/>
          <w:iCs w:val="0"/>
          <w:caps w:val="0"/>
          <w:color w:val="000000" w:themeColor="text1"/>
          <w:spacing w:val="0"/>
          <w:sz w:val="32"/>
          <w:szCs w:val="32"/>
          <w:lang w:val="en-US"/>
          <w14:textFill>
            <w14:solidFill>
              <w14:schemeClr w14:val="tx1"/>
            </w14:solidFill>
          </w14:textFill>
        </w:rPr>
        <w:t>在作出决定的10个工作日内</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将容错免责认定结果反馈给</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相关</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单位或个人，对相关资料统一归档，</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并</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抄送</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级</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纪检监察机关、</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组织</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财政、人力资源社会保障、审计等部门</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备案留存。涉及省级科技计划项目的，在省科技管理</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信息</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系统中作标注。对不予认定的，应说明</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依据及</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理由。</w:t>
      </w:r>
    </w:p>
    <w:p w14:paraId="058221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Style w:val="12"/>
          <w:rFonts w:hint="eastAsia" w:ascii="Times New Roman" w:hAnsi="Times New Roman" w:eastAsia="方正黑体_GBK" w:cs="Times New Roman"/>
          <w:b w:val="0"/>
          <w:bCs/>
          <w:i w:val="0"/>
          <w:iCs w:val="0"/>
          <w:caps w:val="0"/>
          <w:color w:val="000000" w:themeColor="text1"/>
          <w:spacing w:val="0"/>
          <w:sz w:val="32"/>
          <w:szCs w:val="32"/>
          <w:lang w:eastAsia="zh-CN"/>
          <w14:textFill>
            <w14:solidFill>
              <w14:schemeClr w14:val="tx1"/>
            </w14:solidFill>
          </w14:textFill>
        </w:rPr>
      </w:pPr>
      <w:r>
        <w:rPr>
          <w:rStyle w:val="12"/>
          <w:rFonts w:hint="eastAsia"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第四章　纠错</w:t>
      </w:r>
      <w:r>
        <w:rPr>
          <w:rStyle w:val="12"/>
          <w:rFonts w:hint="eastAsia" w:ascii="Times New Roman" w:hAnsi="Times New Roman" w:eastAsia="方正黑体_GBK" w:cs="Times New Roman"/>
          <w:b w:val="0"/>
          <w:bCs/>
          <w:i w:val="0"/>
          <w:iCs w:val="0"/>
          <w:caps w:val="0"/>
          <w:color w:val="000000" w:themeColor="text1"/>
          <w:spacing w:val="0"/>
          <w:sz w:val="32"/>
          <w:szCs w:val="32"/>
          <w:lang w:val="en-US" w:eastAsia="zh-CN"/>
          <w14:textFill>
            <w14:solidFill>
              <w14:schemeClr w14:val="tx1"/>
            </w14:solidFill>
          </w14:textFill>
        </w:rPr>
        <w:t>程序</w:t>
      </w:r>
    </w:p>
    <w:p w14:paraId="2AB9F9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第九条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w:t>
      </w:r>
      <w:r>
        <w:rPr>
          <w:rFonts w:hint="eastAsia" w:ascii="Times New Roman" w:hAnsi="Times New Roman" w:eastAsia="方正仿宋_GBK" w:cs="Times New Roman"/>
          <w:color w:val="000000" w:themeColor="text1"/>
          <w:sz w:val="32"/>
          <w:szCs w:val="32"/>
          <w14:textFill>
            <w14:solidFill>
              <w14:schemeClr w14:val="tx1"/>
            </w14:solidFill>
          </w14:textFill>
        </w:rPr>
        <w:t>坚持容错与纠错并举，健全纠错改错机制，在科技创新工作中一经发现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科研</w:t>
      </w:r>
      <w:r>
        <w:rPr>
          <w:rFonts w:hint="eastAsia" w:ascii="Times New Roman" w:hAnsi="Times New Roman" w:eastAsia="方正仿宋_GBK" w:cs="Times New Roman"/>
          <w:color w:val="000000" w:themeColor="text1"/>
          <w:sz w:val="32"/>
          <w:szCs w:val="32"/>
          <w14:textFill>
            <w14:solidFill>
              <w14:schemeClr w14:val="tx1"/>
            </w14:solidFill>
          </w14:textFill>
        </w:rPr>
        <w:t>失误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错误</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由省科技厅</w:t>
      </w:r>
      <w:r>
        <w:rPr>
          <w:rFonts w:hint="eastAsia" w:ascii="Times New Roman" w:hAnsi="Times New Roman" w:eastAsia="方正仿宋_GBK" w:cs="Times New Roman"/>
          <w:color w:val="000000" w:themeColor="text1"/>
          <w:sz w:val="32"/>
          <w:szCs w:val="32"/>
          <w14:textFill>
            <w14:solidFill>
              <w14:schemeClr w14:val="tx1"/>
            </w14:solidFill>
          </w14:textFill>
        </w:rPr>
        <w:t>及时启动纠错程序。实施纠错</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按如下程序办理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1DD7C2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（一）启动纠错。按照规定对相关单位或个人作出容错认定时，</w:t>
      </w:r>
      <w:r>
        <w:rPr>
          <w:rFonts w:hint="eastAsia" w:ascii="Times New Roman" w:hAnsi="Times New Roman" w:eastAsia="方正仿宋_GBK" w:cs="Times New Roman"/>
          <w:color w:val="000000" w:themeColor="text1"/>
          <w:kern w:val="2"/>
          <w:sz w:val="32"/>
          <w:szCs w:val="32"/>
          <w:lang w:val="en-US" w:eastAsia="zh-CN" w:bidi="ar"/>
          <w14:textFill>
            <w14:solidFill>
              <w14:schemeClr w14:val="tx1"/>
            </w14:solidFill>
          </w14:textFill>
        </w:rPr>
        <w:t>对有必要采取纠错程序予以整改的，</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一并作出启动纠错程序的决定。</w:t>
      </w:r>
    </w:p>
    <w:p w14:paraId="2B8C1C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（二）发送通知。启动纠错程序后7</w:t>
      </w:r>
      <w:r>
        <w:rPr>
          <w:rFonts w:hint="eastAsia" w:ascii="Times New Roman" w:hAnsi="Times New Roman" w:eastAsia="方正仿宋_GBK" w:cs="Times New Roman"/>
          <w:color w:val="000000" w:themeColor="text1"/>
          <w:kern w:val="2"/>
          <w:sz w:val="32"/>
          <w:szCs w:val="32"/>
          <w:lang w:val="en-US" w:eastAsia="zh-CN" w:bidi="ar"/>
          <w14:textFill>
            <w14:solidFill>
              <w14:schemeClr w14:val="tx1"/>
            </w14:solidFill>
          </w14:textFill>
        </w:rPr>
        <w:t>个工作日</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内，向纠错对象发送纠错通知书，说明纠错事由，提出纠错要求。</w:t>
      </w:r>
    </w:p>
    <w:p w14:paraId="7EAE13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（三）谈话问询。发送纠错通知书后10</w:t>
      </w:r>
      <w:r>
        <w:rPr>
          <w:rFonts w:hint="eastAsia" w:ascii="Times New Roman" w:hAnsi="Times New Roman" w:eastAsia="方正仿宋_GBK" w:cs="Times New Roman"/>
          <w:color w:val="000000" w:themeColor="text1"/>
          <w:kern w:val="2"/>
          <w:sz w:val="32"/>
          <w:szCs w:val="32"/>
          <w:lang w:val="en-US" w:eastAsia="zh-CN" w:bidi="ar"/>
          <w14:textFill>
            <w14:solidFill>
              <w14:schemeClr w14:val="tx1"/>
            </w14:solidFill>
          </w14:textFill>
        </w:rPr>
        <w:t>个工作日</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内，对纠错对象进行谈话问询，听取陈述意见。</w:t>
      </w:r>
    </w:p>
    <w:p w14:paraId="674EBE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（四）督促整改。采取适当方式跟踪了解纠错对象的整改情况，督促其限期整改。对未及时改正或整改效果不明显，致使后果加重或同一</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偏差、失误</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再次发生的，给予严肃处理。</w:t>
      </w:r>
    </w:p>
    <w:p w14:paraId="496C21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（五）完善制度。在督促整改的同时，指导相关单位和人员认真分析原因，深刻吸取教训，落实长效举措，有效防范类似问题再次发生。</w:t>
      </w:r>
    </w:p>
    <w:p w14:paraId="2145AC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pPr>
      <w:r>
        <w:rPr>
          <w:rStyle w:val="12"/>
          <w:rFonts w:hint="eastAsia"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第五章　结果应用</w:t>
      </w:r>
    </w:p>
    <w:p w14:paraId="0E2265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第十条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被认定为容错免责的单位和个人，不予追究科研</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失误、错误</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责任，不影响相关评价与考核，不影响再次申请财政资金支持的科技项目，</w:t>
      </w:r>
      <w:r>
        <w:rPr>
          <w:rFonts w:hint="eastAsia"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不纳入科研</w:t>
      </w:r>
      <w:r>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t>失信行为</w:t>
      </w:r>
      <w:r>
        <w:rPr>
          <w:rFonts w:hint="eastAsia"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记录。</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在个人年度考核、评先评优、表彰奖励和干部提拔任用、职级职称晋升时</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不</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受影响</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仿宋" w:hAnsi="仿宋" w:eastAsia="仿宋" w:cs="仿宋"/>
          <w:color w:val="000000" w:themeColor="text1"/>
          <w:kern w:val="2"/>
          <w:sz w:val="31"/>
          <w:szCs w:val="31"/>
          <w:shd w:val="clear" w:fill="FFFFFF"/>
          <w:lang w:val="en-US" w:eastAsia="zh-CN" w:bidi="ar"/>
          <w14:textFill>
            <w14:solidFill>
              <w14:schemeClr w14:val="tx1"/>
            </w14:solidFill>
          </w14:textFill>
        </w:rPr>
        <w:t>免责认定意见可作为单位或个人接受审计、监督检查等工作的重要依据。</w:t>
      </w:r>
    </w:p>
    <w:p w14:paraId="3933F0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iCs w:val="0"/>
          <w:caps w:val="0"/>
          <w:color w:val="000000" w:themeColor="text1"/>
          <w:spacing w:val="0"/>
          <w:sz w:val="31"/>
          <w:szCs w:val="31"/>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容错免责的</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科技创新活动</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1"/>
          <w:szCs w:val="31"/>
          <w:shd w:val="clear" w:fill="FFFFFF"/>
          <w14:textFill>
            <w14:solidFill>
              <w14:schemeClr w14:val="tx1"/>
            </w14:solidFill>
          </w14:textFill>
        </w:rPr>
        <w:t>财政结余</w:t>
      </w:r>
      <w:r>
        <w:rPr>
          <w:rFonts w:hint="eastAsia" w:ascii="仿宋" w:hAnsi="仿宋" w:eastAsia="仿宋" w:cs="仿宋"/>
          <w:i w:val="0"/>
          <w:iCs w:val="0"/>
          <w:caps w:val="0"/>
          <w:color w:val="000000" w:themeColor="text1"/>
          <w:spacing w:val="0"/>
          <w:sz w:val="31"/>
          <w:szCs w:val="31"/>
          <w:shd w:val="clear" w:fill="FFFFFF"/>
          <w:lang w:val="en-US" w:eastAsia="zh-CN"/>
          <w14:textFill>
            <w14:solidFill>
              <w14:schemeClr w14:val="tx1"/>
            </w14:solidFill>
          </w14:textFill>
        </w:rPr>
        <w:t>资金</w:t>
      </w:r>
      <w:r>
        <w:rPr>
          <w:rFonts w:hint="eastAsia" w:ascii="仿宋" w:hAnsi="仿宋" w:eastAsia="仿宋" w:cs="仿宋"/>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1"/>
          <w:szCs w:val="31"/>
          <w:shd w:val="clear" w:fill="FFFFFF"/>
          <w14:textFill>
            <w14:solidFill>
              <w14:schemeClr w14:val="tx1"/>
            </w14:solidFill>
          </w14:textFill>
        </w:rPr>
        <w:t>经审计</w:t>
      </w:r>
      <w:r>
        <w:rPr>
          <w:rFonts w:hint="eastAsia" w:ascii="仿宋" w:hAnsi="仿宋" w:eastAsia="仿宋" w:cs="仿宋"/>
          <w:color w:val="000000" w:themeColor="text1"/>
          <w:sz w:val="31"/>
          <w:szCs w:val="31"/>
          <w:shd w:val="clear" w:fill="FFFFFF"/>
          <w14:textFill>
            <w14:solidFill>
              <w14:schemeClr w14:val="tx1"/>
            </w14:solidFill>
          </w14:textFill>
        </w:rPr>
        <w:t>使用不</w:t>
      </w:r>
      <w:r>
        <w:rPr>
          <w:rFonts w:hint="eastAsia" w:ascii="仿宋" w:hAnsi="仿宋" w:eastAsia="仿宋" w:cs="仿宋"/>
          <w:color w:val="000000" w:themeColor="text1"/>
          <w:sz w:val="31"/>
          <w:szCs w:val="31"/>
          <w:shd w:val="clear" w:fill="FFFFFF"/>
          <w:lang w:val="en-US" w:eastAsia="zh-CN"/>
          <w14:textFill>
            <w14:solidFill>
              <w14:schemeClr w14:val="tx1"/>
            </w14:solidFill>
          </w14:textFill>
        </w:rPr>
        <w:t>合规资金、未与自筹资金同比例使用的省级科技专项资金，应在60天内</w:t>
      </w:r>
      <w:r>
        <w:rPr>
          <w:rFonts w:hint="eastAsia" w:ascii="仿宋" w:hAnsi="仿宋" w:eastAsia="仿宋" w:cs="仿宋"/>
          <w:i w:val="0"/>
          <w:iCs w:val="0"/>
          <w:caps w:val="0"/>
          <w:color w:val="000000" w:themeColor="text1"/>
          <w:spacing w:val="0"/>
          <w:sz w:val="31"/>
          <w:szCs w:val="31"/>
          <w:shd w:val="clear" w:fill="FFFFFF"/>
          <w14:textFill>
            <w14:solidFill>
              <w14:schemeClr w14:val="tx1"/>
            </w14:solidFill>
          </w14:textFill>
        </w:rPr>
        <w:t>按</w:t>
      </w:r>
      <w:r>
        <w:rPr>
          <w:rFonts w:hint="eastAsia" w:ascii="仿宋" w:hAnsi="仿宋" w:eastAsia="仿宋" w:cs="仿宋"/>
          <w:i w:val="0"/>
          <w:iCs w:val="0"/>
          <w:caps w:val="0"/>
          <w:color w:val="000000" w:themeColor="text1"/>
          <w:spacing w:val="0"/>
          <w:sz w:val="31"/>
          <w:szCs w:val="31"/>
          <w:shd w:val="clear" w:fill="FFFFFF"/>
          <w:lang w:val="en-US" w:eastAsia="zh-CN"/>
          <w14:textFill>
            <w14:solidFill>
              <w14:schemeClr w14:val="tx1"/>
            </w14:solidFill>
          </w14:textFill>
        </w:rPr>
        <w:t>原渠道足额</w:t>
      </w:r>
      <w:r>
        <w:rPr>
          <w:rFonts w:hint="eastAsia" w:ascii="仿宋" w:hAnsi="仿宋" w:eastAsia="仿宋" w:cs="仿宋"/>
          <w:i w:val="0"/>
          <w:iCs w:val="0"/>
          <w:caps w:val="0"/>
          <w:color w:val="000000" w:themeColor="text1"/>
          <w:spacing w:val="0"/>
          <w:sz w:val="31"/>
          <w:szCs w:val="31"/>
          <w:shd w:val="clear" w:fill="FFFFFF"/>
          <w14:textFill>
            <w14:solidFill>
              <w14:schemeClr w14:val="tx1"/>
            </w14:solidFill>
          </w14:textFill>
        </w:rPr>
        <w:t>退回</w:t>
      </w:r>
      <w:r>
        <w:rPr>
          <w:rFonts w:hint="eastAsia" w:ascii="仿宋" w:hAnsi="仿宋" w:eastAsia="仿宋" w:cs="仿宋"/>
          <w:i w:val="0"/>
          <w:iCs w:val="0"/>
          <w:caps w:val="0"/>
          <w:color w:val="000000" w:themeColor="text1"/>
          <w:spacing w:val="0"/>
          <w:sz w:val="31"/>
          <w:szCs w:val="31"/>
          <w:shd w:val="clear" w:fill="FFFFFF"/>
          <w:lang w:eastAsia="zh-CN"/>
          <w14:textFill>
            <w14:solidFill>
              <w14:schemeClr w14:val="tx1"/>
            </w14:solidFill>
          </w14:textFill>
        </w:rPr>
        <w:t>。</w:t>
      </w:r>
    </w:p>
    <w:p w14:paraId="1DD17F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第十一条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经认定为容错免责的单位</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和个人</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，需对科研失误、错误原因进行深入</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剖析</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总结教训</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形成书面报告提交省科技厅存档。省科技厅结合科技报告制度等相关规定，科学评估失误、错误科技活动的科学价值，为后续科学研究和科技管理工作提供借鉴。</w:t>
      </w:r>
    </w:p>
    <w:p w14:paraId="63C46E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pPr>
      <w:r>
        <w:rPr>
          <w:rStyle w:val="12"/>
          <w:rFonts w:hint="eastAsia"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第六章　组织保障</w:t>
      </w:r>
    </w:p>
    <w:p w14:paraId="6621B9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第十二条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加强组织领导。由</w:t>
      </w:r>
      <w:r>
        <w:rPr>
          <w:rFonts w:hint="eastAsia" w:ascii="仿宋" w:hAnsi="仿宋" w:eastAsia="仿宋" w:cs="仿宋"/>
          <w:color w:val="000000" w:themeColor="text1"/>
          <w:kern w:val="2"/>
          <w:sz w:val="31"/>
          <w:szCs w:val="31"/>
          <w:shd w:val="clear" w:fill="FFFFFF"/>
          <w:lang w:val="en-US" w:eastAsia="zh-CN" w:bidi="ar"/>
          <w14:textFill>
            <w14:solidFill>
              <w14:schemeClr w14:val="tx1"/>
            </w14:solidFill>
          </w14:textFill>
        </w:rPr>
        <w:t>省委科技委办公室</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牵头，省科技厅商请省纪委监委定期或不定期研讨全省科技创新容错纠错免责工作，及时通报沟通科技创新容错纠错中碰到的情况、问题和解决方案。</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省科技厅应</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担负起容错纠错的主体责任，加强对科技创新容错纠错免责认定工作的组织领导和统筹协调，充分发挥政策的激励引导和保障支持作用，细化措施，扎实推进，建立健全宽容失败和全过程管理相结合的工作机制。</w:t>
      </w:r>
    </w:p>
    <w:p w14:paraId="730C20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第十</w:t>
      </w:r>
      <w:r>
        <w:rPr>
          <w:rFonts w:hint="eastAsia" w:ascii="Times New Roman" w:hAnsi="Times New Roman" w:eastAsia="方正仿宋_GBK" w:cs="Times New Roman"/>
          <w:b/>
          <w:bCs/>
          <w:i w:val="0"/>
          <w:iCs w:val="0"/>
          <w:caps w:val="0"/>
          <w:color w:val="000000" w:themeColor="text1"/>
          <w:spacing w:val="0"/>
          <w:sz w:val="32"/>
          <w:szCs w:val="32"/>
          <w:lang w:val="en-US" w:eastAsia="zh-CN"/>
          <w14:textFill>
            <w14:solidFill>
              <w14:schemeClr w14:val="tx1"/>
            </w14:solidFill>
          </w14:textFill>
        </w:rPr>
        <w:t>三</w:t>
      </w: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营造良好创新环境。采用多元方式加大科技创新政策宣传和解读，加强宽容失败、鼓励创新政策的宣讲和正面引导，</w:t>
      </w:r>
      <w:r>
        <w:rPr>
          <w:rFonts w:hint="eastAsia" w:ascii="仿宋" w:hAnsi="仿宋" w:eastAsia="仿宋" w:cs="仿宋"/>
          <w:color w:val="000000" w:themeColor="text1"/>
          <w:kern w:val="2"/>
          <w:sz w:val="31"/>
          <w:szCs w:val="31"/>
          <w:shd w:val="clear" w:fill="FFFFFF"/>
          <w:lang w:val="en-US" w:eastAsia="zh-CN" w:bidi="ar"/>
          <w14:textFill>
            <w14:solidFill>
              <w14:schemeClr w14:val="tx1"/>
            </w14:solidFill>
          </w14:textFill>
        </w:rPr>
        <w:t>组织开展典型经验总结，</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大力宣传改革创新、担当作为的先进人物和事迹，引导</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科技人员</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弘扬科学家精神、奉献精神，树立追求真理、勇攀高峰的学术品格，勇于探索、敢于超越，争做重大科研成果的创造者、创新型云南建设的奉献者。</w:t>
      </w:r>
    </w:p>
    <w:p w14:paraId="2596E3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第十</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四</w:t>
      </w: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国家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和省</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科技创新活动管理文件对容错免责有具体规定的，按照其规定执行；规定未作详尽说明，参照本办法执行。</w:t>
      </w:r>
    </w:p>
    <w:p w14:paraId="6AF84F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right="0"/>
        <w:jc w:val="center"/>
        <w:textAlignment w:val="auto"/>
        <w:rPr>
          <w:rStyle w:val="12"/>
          <w:rFonts w:hint="default"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pPr>
      <w:r>
        <w:rPr>
          <w:rStyle w:val="12"/>
          <w:rFonts w:hint="eastAsia" w:ascii="Times New Roman" w:hAnsi="Times New Roman" w:eastAsia="方正黑体_GBK" w:cs="Times New Roman"/>
          <w:b w:val="0"/>
          <w:bCs/>
          <w:i w:val="0"/>
          <w:iCs w:val="0"/>
          <w:caps w:val="0"/>
          <w:color w:val="000000" w:themeColor="text1"/>
          <w:spacing w:val="0"/>
          <w:sz w:val="32"/>
          <w:szCs w:val="32"/>
          <w14:textFill>
            <w14:solidFill>
              <w14:schemeClr w14:val="tx1"/>
            </w14:solidFill>
          </w14:textFill>
        </w:rPr>
        <w:t>第七章　附　则</w:t>
      </w:r>
    </w:p>
    <w:p w14:paraId="7920DC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第十</w:t>
      </w:r>
      <w:r>
        <w:rPr>
          <w:rFonts w:hint="eastAsia" w:ascii="Times New Roman" w:hAnsi="Times New Roman" w:eastAsia="方正仿宋_GBK" w:cs="Times New Roman"/>
          <w:b/>
          <w:bCs/>
          <w:i w:val="0"/>
          <w:iCs w:val="0"/>
          <w:caps w:val="0"/>
          <w:color w:val="000000" w:themeColor="text1"/>
          <w:spacing w:val="0"/>
          <w:sz w:val="32"/>
          <w:szCs w:val="32"/>
          <w:lang w:val="en-US" w:eastAsia="zh-CN"/>
          <w14:textFill>
            <w14:solidFill>
              <w14:schemeClr w14:val="tx1"/>
            </w14:solidFill>
          </w14:textFill>
        </w:rPr>
        <w:t>五</w:t>
      </w: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本办法由云南省科学技术厅负责解释。</w:t>
      </w:r>
    </w:p>
    <w:p w14:paraId="6DABEC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第十</w:t>
      </w:r>
      <w:r>
        <w:rPr>
          <w:rFonts w:hint="eastAsia" w:ascii="Times New Roman" w:hAnsi="Times New Roman" w:eastAsia="方正仿宋_GBK" w:cs="Times New Roman"/>
          <w:b/>
          <w:bCs/>
          <w:i w:val="0"/>
          <w:iCs w:val="0"/>
          <w:caps w:val="0"/>
          <w:color w:val="000000" w:themeColor="text1"/>
          <w:spacing w:val="0"/>
          <w:sz w:val="32"/>
          <w:szCs w:val="32"/>
          <w:lang w:val="en-US" w:eastAsia="zh-CN"/>
          <w14:textFill>
            <w14:solidFill>
              <w14:schemeClr w14:val="tx1"/>
            </w14:solidFill>
          </w14:textFill>
        </w:rPr>
        <w:t>六</w:t>
      </w:r>
      <w:r>
        <w:rPr>
          <w:rFonts w:hint="eastAsia"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条</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　本办法自202</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5</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年</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月</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日起施行，有效期至202</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8</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年</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月</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14:textFill>
            <w14:solidFill>
              <w14:schemeClr w14:val="tx1"/>
            </w14:solidFill>
          </w14:textFill>
        </w:rPr>
        <w:t>日。</w:t>
      </w:r>
    </w:p>
    <w:p w14:paraId="563AC6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pPr>
    </w:p>
    <w:p w14:paraId="3090D7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620" w:firstLineChars="200"/>
        <w:jc w:val="both"/>
        <w:textAlignment w:val="auto"/>
        <w:rPr>
          <w:rFonts w:hint="eastAsia" w:ascii="仿宋" w:hAnsi="仿宋" w:eastAsia="仿宋" w:cs="仿宋"/>
          <w:color w:val="000000" w:themeColor="text1"/>
          <w:sz w:val="31"/>
          <w:szCs w:val="31"/>
          <w:shd w:val="clear" w:fill="FFFFFF"/>
          <w:lang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31"/>
          <w:szCs w:val="31"/>
          <w:shd w:val="clear" w:fill="FFFFFF"/>
          <w:lang w:eastAsia="zh-CN"/>
          <w14:textFill>
            <w14:solidFill>
              <w14:schemeClr w14:val="tx1"/>
            </w14:solidFill>
          </w14:textFill>
        </w:rPr>
        <w:t>附件：科技创新容错免责认定申请表</w:t>
      </w:r>
    </w:p>
    <w:p w14:paraId="05C85179">
      <w:pPr>
        <w:keepNext w:val="0"/>
        <w:keepLines w:val="0"/>
        <w:widowControl w:val="0"/>
        <w:suppressLineNumbers w:val="0"/>
        <w:adjustRightInd w:val="0"/>
        <w:snapToGrid w:val="0"/>
        <w:spacing w:before="0" w:beforeAutospacing="0" w:after="0" w:afterAutospacing="0" w:line="580" w:lineRule="exact"/>
        <w:ind w:left="0" w:right="0"/>
        <w:jc w:val="both"/>
        <w:rPr>
          <w:rFonts w:hint="eastAsia" w:ascii="方正黑体_GBK" w:hAnsi="方正黑体_GBK" w:eastAsia="方正黑体_GBK" w:cs="方正黑体_GBK"/>
          <w:color w:val="000000" w:themeColor="text1"/>
          <w:sz w:val="32"/>
          <w:szCs w:val="24"/>
          <w:lang w:val="en-US"/>
          <w14:textFill>
            <w14:solidFill>
              <w14:schemeClr w14:val="tx1"/>
            </w14:solidFill>
          </w14:textFill>
        </w:rPr>
      </w:pPr>
      <w:r>
        <w:rPr>
          <w:rFonts w:hint="eastAsia" w:ascii="方正黑体_GBK" w:hAnsi="方正黑体_GBK" w:eastAsia="方正黑体_GBK" w:cs="方正黑体_GBK"/>
          <w:color w:val="000000" w:themeColor="text1"/>
          <w:kern w:val="2"/>
          <w:sz w:val="32"/>
          <w:szCs w:val="24"/>
          <w:lang w:val="en-US" w:eastAsia="zh-CN" w:bidi="ar"/>
          <w14:textFill>
            <w14:solidFill>
              <w14:schemeClr w14:val="tx1"/>
            </w14:solidFill>
          </w14:textFill>
        </w:rPr>
        <w:t>附件</w:t>
      </w:r>
    </w:p>
    <w:p w14:paraId="663BF0EA">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17AB114C">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方正小标宋_GBK" w:hAnsi="方正小标宋_GBK" w:eastAsia="方正小标宋_GBK" w:cs="方正小标宋_GBK"/>
          <w:color w:val="000000" w:themeColor="text1"/>
          <w:sz w:val="44"/>
          <w:szCs w:val="44"/>
          <w:lang w:val="en-US"/>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lang w:val="en-US" w:eastAsia="zh-CN" w:bidi="ar"/>
          <w14:textFill>
            <w14:solidFill>
              <w14:schemeClr w14:val="tx1"/>
            </w14:solidFill>
          </w14:textFill>
        </w:rPr>
        <w:t>科技创新容错免责认定申请表</w:t>
      </w:r>
    </w:p>
    <w:p w14:paraId="2D6F3CB2">
      <w:pPr>
        <w:pStyle w:val="8"/>
        <w:keepNext w:val="0"/>
        <w:keepLines w:val="0"/>
        <w:widowControl w:val="0"/>
        <w:suppressLineNumbers w:val="0"/>
        <w:spacing w:before="0" w:beforeAutospacing="0" w:after="120" w:afterAutospacing="0"/>
        <w:ind w:left="0" w:right="0"/>
        <w:jc w:val="both"/>
        <w:rPr>
          <w:color w:val="000000" w:themeColor="text1"/>
          <w:lang w:val="en-US"/>
          <w14:textFill>
            <w14:solidFill>
              <w14:schemeClr w14:val="tx1"/>
            </w14:solidFill>
          </w14:textFill>
        </w:rPr>
      </w:pPr>
    </w:p>
    <w:tbl>
      <w:tblPr>
        <w:tblStyle w:val="1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01"/>
        <w:gridCol w:w="1805"/>
        <w:gridCol w:w="2156"/>
        <w:gridCol w:w="2156"/>
      </w:tblGrid>
      <w:tr w14:paraId="2E8D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14:paraId="0E3A4E58">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申请单位</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629198FB">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14:paraId="59412F47">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申请时间</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14:paraId="43862EF9">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tc>
      </w:tr>
      <w:tr w14:paraId="7F92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14:paraId="7B86189D">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申请容错事由</w:t>
            </w:r>
          </w:p>
        </w:tc>
        <w:tc>
          <w:tcPr>
            <w:tcW w:w="61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3870B3">
            <w:pPr>
              <w:keepNext w:val="0"/>
              <w:keepLines w:val="0"/>
              <w:widowControl w:val="0"/>
              <w:suppressLineNumbers w:val="0"/>
              <w:adjustRightInd w:val="0"/>
              <w:snapToGrid w:val="0"/>
              <w:spacing w:before="0" w:beforeAutospacing="0" w:after="0" w:afterAutospacing="0" w:line="580" w:lineRule="exact"/>
              <w:ind w:left="0" w:right="0"/>
              <w:jc w:val="both"/>
              <w:rPr>
                <w:rFonts w:hint="default" w:ascii="Times New Roman" w:hAnsi="Times New Roman" w:eastAsia="方正仿宋_GBK" w:cs="Times New Roman"/>
                <w:color w:val="000000" w:themeColor="text1"/>
                <w:sz w:val="32"/>
                <w:szCs w:val="24"/>
                <w:lang w:val="en-US"/>
                <w14:textFill>
                  <w14:solidFill>
                    <w14:schemeClr w14:val="tx1"/>
                  </w14:solidFill>
                </w14:textFill>
              </w:rPr>
            </w:pPr>
          </w:p>
        </w:tc>
      </w:tr>
      <w:tr w14:paraId="3412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14:paraId="58BC125D">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申请单位意见</w:t>
            </w:r>
          </w:p>
        </w:tc>
        <w:tc>
          <w:tcPr>
            <w:tcW w:w="61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0CD9B4">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6D21BA6D">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法定代表人签字：</w:t>
            </w:r>
          </w:p>
          <w:p w14:paraId="4DF349AB">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月</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日（盖章）</w:t>
            </w:r>
          </w:p>
        </w:tc>
      </w:tr>
      <w:tr w14:paraId="74DC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14:paraId="37CCC42D">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科技行政管理部门受理意见</w:t>
            </w:r>
          </w:p>
        </w:tc>
        <w:tc>
          <w:tcPr>
            <w:tcW w:w="61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ADAA9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4D47394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5AF4FA04">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月</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日（盖章）</w:t>
            </w:r>
          </w:p>
        </w:tc>
      </w:tr>
      <w:tr w14:paraId="64CE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14:paraId="21E16F09">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工作小组</w:t>
            </w:r>
          </w:p>
          <w:p w14:paraId="25899944">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情况核查意见</w:t>
            </w:r>
          </w:p>
        </w:tc>
        <w:tc>
          <w:tcPr>
            <w:tcW w:w="61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76E23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753089F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18BF7C6E">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月</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日（盖章）</w:t>
            </w:r>
          </w:p>
        </w:tc>
      </w:tr>
      <w:tr w14:paraId="5F29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14:paraId="38009654">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科技行政管理部门认定意见</w:t>
            </w:r>
          </w:p>
        </w:tc>
        <w:tc>
          <w:tcPr>
            <w:tcW w:w="61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55627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33CF77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p>
          <w:p w14:paraId="474E9266">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color w:val="000000" w:themeColor="text1"/>
                <w:sz w:val="32"/>
                <w:szCs w:val="24"/>
                <w:lang w:val="en-US"/>
                <w14:textFill>
                  <w14:solidFill>
                    <w14:schemeClr w14:val="tx1"/>
                  </w14:solidFill>
                </w14:textFill>
              </w:rPr>
            </w:pP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月</w:t>
            </w:r>
            <w:r>
              <w:rPr>
                <w:rFonts w:hint="default" w:ascii="Times New Roman" w:hAnsi="Times New Roman" w:eastAsia="方正仿宋_GBK" w:cs="Times New Roman"/>
                <w:color w:val="000000" w:themeColor="text1"/>
                <w:kern w:val="2"/>
                <w:sz w:val="32"/>
                <w:szCs w:val="24"/>
                <w:lang w:val="en-US" w:eastAsia="zh-CN" w:bidi="ar"/>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24"/>
                <w:lang w:val="en-US" w:eastAsia="zh-CN" w:bidi="ar"/>
                <w14:textFill>
                  <w14:solidFill>
                    <w14:schemeClr w14:val="tx1"/>
                  </w14:solidFill>
                </w14:textFill>
              </w:rPr>
              <w:t>日（盖章）</w:t>
            </w:r>
          </w:p>
        </w:tc>
      </w:tr>
    </w:tbl>
    <w:p w14:paraId="7CEC3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default" w:ascii="仿宋" w:hAnsi="仿宋" w:eastAsia="仿宋" w:cs="仿宋"/>
          <w:color w:val="000000" w:themeColor="text1"/>
          <w:sz w:val="31"/>
          <w:szCs w:val="31"/>
          <w:shd w:val="clear"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注：需附上</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情况说明及佐证材料</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含专项</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审计报告、</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执行情况总结报告</w:t>
      </w:r>
      <w:r>
        <w:rPr>
          <w:rFonts w:hint="default" w:ascii="Times New Roman" w:hAnsi="Times New Roman" w:eastAsia="方正仿宋_GBK" w:cs="Times New Roman"/>
          <w:i w:val="0"/>
          <w:iCs w:val="0"/>
          <w:caps w:val="0"/>
          <w:color w:val="000000" w:themeColor="text1"/>
          <w:spacing w:val="0"/>
          <w:sz w:val="32"/>
          <w:szCs w:val="32"/>
          <w14:textFill>
            <w14:solidFill>
              <w14:schemeClr w14:val="tx1"/>
            </w14:solidFill>
          </w14:textFill>
        </w:rPr>
        <w:t>等</w:t>
      </w:r>
      <w:r>
        <w:rPr>
          <w:rFonts w:hint="eastAsia" w:ascii="Times New Roman" w:hAnsi="Times New Roman" w:eastAsia="方正仿宋_GBK" w:cs="Times New Roman"/>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lang w:val="en-US"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A17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849D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D849D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CC1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ADA"/>
    <w:rsid w:val="003A6B66"/>
    <w:rsid w:val="00840E16"/>
    <w:rsid w:val="020514F7"/>
    <w:rsid w:val="028018B6"/>
    <w:rsid w:val="02817D2B"/>
    <w:rsid w:val="028871D8"/>
    <w:rsid w:val="02EC4E9F"/>
    <w:rsid w:val="034F3429"/>
    <w:rsid w:val="03C54999"/>
    <w:rsid w:val="03FC2FC4"/>
    <w:rsid w:val="03FF1D9A"/>
    <w:rsid w:val="04056437"/>
    <w:rsid w:val="04117F3E"/>
    <w:rsid w:val="04722D72"/>
    <w:rsid w:val="04C82992"/>
    <w:rsid w:val="0519509A"/>
    <w:rsid w:val="05347AA5"/>
    <w:rsid w:val="05634BC0"/>
    <w:rsid w:val="070576FE"/>
    <w:rsid w:val="07972AF0"/>
    <w:rsid w:val="08597DA5"/>
    <w:rsid w:val="09A51579"/>
    <w:rsid w:val="09D74485"/>
    <w:rsid w:val="09D81045"/>
    <w:rsid w:val="09E57B43"/>
    <w:rsid w:val="0A163A8A"/>
    <w:rsid w:val="0A47281E"/>
    <w:rsid w:val="0A6E62A9"/>
    <w:rsid w:val="0AA417AC"/>
    <w:rsid w:val="0AE6125E"/>
    <w:rsid w:val="0B27418B"/>
    <w:rsid w:val="0B756CA4"/>
    <w:rsid w:val="0B7C09A8"/>
    <w:rsid w:val="0BAB0918"/>
    <w:rsid w:val="0C054580"/>
    <w:rsid w:val="0C1F1229"/>
    <w:rsid w:val="0CA43CE5"/>
    <w:rsid w:val="0CB97A5E"/>
    <w:rsid w:val="0E4F5ED2"/>
    <w:rsid w:val="0E830FDB"/>
    <w:rsid w:val="0ED723E0"/>
    <w:rsid w:val="0F1C42D1"/>
    <w:rsid w:val="0F597919"/>
    <w:rsid w:val="0FA91612"/>
    <w:rsid w:val="100E0482"/>
    <w:rsid w:val="11381C13"/>
    <w:rsid w:val="118C3028"/>
    <w:rsid w:val="11E903EC"/>
    <w:rsid w:val="12A444E8"/>
    <w:rsid w:val="12D6578B"/>
    <w:rsid w:val="132643AA"/>
    <w:rsid w:val="135846F1"/>
    <w:rsid w:val="139F6FB4"/>
    <w:rsid w:val="14171240"/>
    <w:rsid w:val="143D057B"/>
    <w:rsid w:val="15455939"/>
    <w:rsid w:val="15634011"/>
    <w:rsid w:val="159551A9"/>
    <w:rsid w:val="16626FFB"/>
    <w:rsid w:val="168411C4"/>
    <w:rsid w:val="16EF0FF2"/>
    <w:rsid w:val="16F47617"/>
    <w:rsid w:val="16FE4428"/>
    <w:rsid w:val="172872C1"/>
    <w:rsid w:val="191E6BCD"/>
    <w:rsid w:val="19481E9C"/>
    <w:rsid w:val="19D83220"/>
    <w:rsid w:val="1C5A1736"/>
    <w:rsid w:val="1C9F0025"/>
    <w:rsid w:val="1CC17F9B"/>
    <w:rsid w:val="1CC475EB"/>
    <w:rsid w:val="1CC61A56"/>
    <w:rsid w:val="1CDA2E0B"/>
    <w:rsid w:val="1D294A0D"/>
    <w:rsid w:val="1D711D1D"/>
    <w:rsid w:val="1DD106B2"/>
    <w:rsid w:val="1E413C12"/>
    <w:rsid w:val="1E5D2FB7"/>
    <w:rsid w:val="1F3B4665"/>
    <w:rsid w:val="1FA3446C"/>
    <w:rsid w:val="1FA82E72"/>
    <w:rsid w:val="1FE46FDD"/>
    <w:rsid w:val="20350D74"/>
    <w:rsid w:val="206375BB"/>
    <w:rsid w:val="20C33FB3"/>
    <w:rsid w:val="20E92D0F"/>
    <w:rsid w:val="20FC21BE"/>
    <w:rsid w:val="2179700E"/>
    <w:rsid w:val="2197576F"/>
    <w:rsid w:val="21A34113"/>
    <w:rsid w:val="21AD2534"/>
    <w:rsid w:val="21FB6346"/>
    <w:rsid w:val="22425178"/>
    <w:rsid w:val="230B7162"/>
    <w:rsid w:val="232E7D9F"/>
    <w:rsid w:val="23B32608"/>
    <w:rsid w:val="245E35F5"/>
    <w:rsid w:val="2497442E"/>
    <w:rsid w:val="249B7DDE"/>
    <w:rsid w:val="24A75583"/>
    <w:rsid w:val="24AC1531"/>
    <w:rsid w:val="24C009FA"/>
    <w:rsid w:val="25554B6D"/>
    <w:rsid w:val="25726067"/>
    <w:rsid w:val="260D5FFF"/>
    <w:rsid w:val="26265313"/>
    <w:rsid w:val="270239E9"/>
    <w:rsid w:val="272B3389"/>
    <w:rsid w:val="27A532E1"/>
    <w:rsid w:val="27C52456"/>
    <w:rsid w:val="27CB7F20"/>
    <w:rsid w:val="27D87099"/>
    <w:rsid w:val="27DA750E"/>
    <w:rsid w:val="27FD4E34"/>
    <w:rsid w:val="28A013AD"/>
    <w:rsid w:val="29015BC3"/>
    <w:rsid w:val="29A7676B"/>
    <w:rsid w:val="29C235A5"/>
    <w:rsid w:val="29CB349B"/>
    <w:rsid w:val="29E44D3C"/>
    <w:rsid w:val="2A61691A"/>
    <w:rsid w:val="2AAA1B41"/>
    <w:rsid w:val="2B45623B"/>
    <w:rsid w:val="2BD80E5D"/>
    <w:rsid w:val="2CD6448D"/>
    <w:rsid w:val="2F6D6B88"/>
    <w:rsid w:val="2FC81F03"/>
    <w:rsid w:val="30F009F7"/>
    <w:rsid w:val="31103273"/>
    <w:rsid w:val="31853836"/>
    <w:rsid w:val="318A31FA"/>
    <w:rsid w:val="318C3417"/>
    <w:rsid w:val="31FB0CAA"/>
    <w:rsid w:val="327F65C3"/>
    <w:rsid w:val="32CB171C"/>
    <w:rsid w:val="3304078A"/>
    <w:rsid w:val="348931C9"/>
    <w:rsid w:val="34D643A8"/>
    <w:rsid w:val="34F3269B"/>
    <w:rsid w:val="35494B7A"/>
    <w:rsid w:val="354D6418"/>
    <w:rsid w:val="376C44F2"/>
    <w:rsid w:val="379E0DAD"/>
    <w:rsid w:val="3831247E"/>
    <w:rsid w:val="388821FB"/>
    <w:rsid w:val="38E33A25"/>
    <w:rsid w:val="3984443A"/>
    <w:rsid w:val="3A3000B7"/>
    <w:rsid w:val="3B402EF5"/>
    <w:rsid w:val="3B5A206F"/>
    <w:rsid w:val="3B892174"/>
    <w:rsid w:val="3BF75330"/>
    <w:rsid w:val="3C3025F0"/>
    <w:rsid w:val="3C581A33"/>
    <w:rsid w:val="3DFE39DB"/>
    <w:rsid w:val="3F2367B0"/>
    <w:rsid w:val="3F3621FE"/>
    <w:rsid w:val="3F383730"/>
    <w:rsid w:val="3F5B2C21"/>
    <w:rsid w:val="3FEC0727"/>
    <w:rsid w:val="413305D7"/>
    <w:rsid w:val="418B65DA"/>
    <w:rsid w:val="41AD04EB"/>
    <w:rsid w:val="42161281"/>
    <w:rsid w:val="426E79CE"/>
    <w:rsid w:val="428C0355"/>
    <w:rsid w:val="44093E52"/>
    <w:rsid w:val="44C90126"/>
    <w:rsid w:val="457025B9"/>
    <w:rsid w:val="45943BEF"/>
    <w:rsid w:val="461E795D"/>
    <w:rsid w:val="463D4C70"/>
    <w:rsid w:val="469320F9"/>
    <w:rsid w:val="46EF03BD"/>
    <w:rsid w:val="47C22C96"/>
    <w:rsid w:val="47F14C66"/>
    <w:rsid w:val="480026EF"/>
    <w:rsid w:val="48036E0A"/>
    <w:rsid w:val="481D713E"/>
    <w:rsid w:val="4915247E"/>
    <w:rsid w:val="492F0B88"/>
    <w:rsid w:val="494003BA"/>
    <w:rsid w:val="49720702"/>
    <w:rsid w:val="49B45433"/>
    <w:rsid w:val="49DC531D"/>
    <w:rsid w:val="4A1E5AAC"/>
    <w:rsid w:val="4AC46FB1"/>
    <w:rsid w:val="4BA10326"/>
    <w:rsid w:val="4BA91A77"/>
    <w:rsid w:val="4CD24FEE"/>
    <w:rsid w:val="4CEE0089"/>
    <w:rsid w:val="4DB12D6A"/>
    <w:rsid w:val="4E2C391A"/>
    <w:rsid w:val="4EF44853"/>
    <w:rsid w:val="4F0A481A"/>
    <w:rsid w:val="4F9821C2"/>
    <w:rsid w:val="4FD87CD3"/>
    <w:rsid w:val="5039231E"/>
    <w:rsid w:val="506E0075"/>
    <w:rsid w:val="5141395C"/>
    <w:rsid w:val="51B318A1"/>
    <w:rsid w:val="51EE149E"/>
    <w:rsid w:val="525270FC"/>
    <w:rsid w:val="52B551A5"/>
    <w:rsid w:val="52F34943"/>
    <w:rsid w:val="53C2543B"/>
    <w:rsid w:val="541C54DC"/>
    <w:rsid w:val="54A43723"/>
    <w:rsid w:val="54A4472B"/>
    <w:rsid w:val="55040629"/>
    <w:rsid w:val="550A7715"/>
    <w:rsid w:val="552F56E3"/>
    <w:rsid w:val="553625CD"/>
    <w:rsid w:val="55523002"/>
    <w:rsid w:val="55FF1594"/>
    <w:rsid w:val="561D378D"/>
    <w:rsid w:val="565C1FA6"/>
    <w:rsid w:val="56CB4860"/>
    <w:rsid w:val="570B7A8A"/>
    <w:rsid w:val="5727632B"/>
    <w:rsid w:val="575E5E0B"/>
    <w:rsid w:val="57A8352A"/>
    <w:rsid w:val="57BB500C"/>
    <w:rsid w:val="581F1A3E"/>
    <w:rsid w:val="58727DC0"/>
    <w:rsid w:val="587C29ED"/>
    <w:rsid w:val="58FC4651"/>
    <w:rsid w:val="59593D5C"/>
    <w:rsid w:val="59840B8F"/>
    <w:rsid w:val="59973FFB"/>
    <w:rsid w:val="5A54710B"/>
    <w:rsid w:val="5B523ED9"/>
    <w:rsid w:val="5C567725"/>
    <w:rsid w:val="5C7A5495"/>
    <w:rsid w:val="5C90048B"/>
    <w:rsid w:val="5DD60DF1"/>
    <w:rsid w:val="5DE441C1"/>
    <w:rsid w:val="5E254B6A"/>
    <w:rsid w:val="5EA537FA"/>
    <w:rsid w:val="5F2B3776"/>
    <w:rsid w:val="5F563BB4"/>
    <w:rsid w:val="5F963C5F"/>
    <w:rsid w:val="601B4AD8"/>
    <w:rsid w:val="60384183"/>
    <w:rsid w:val="6065645C"/>
    <w:rsid w:val="614F0890"/>
    <w:rsid w:val="622359F8"/>
    <w:rsid w:val="62583B1E"/>
    <w:rsid w:val="625978FB"/>
    <w:rsid w:val="62A82630"/>
    <w:rsid w:val="62F37D50"/>
    <w:rsid w:val="636E387A"/>
    <w:rsid w:val="64F7553E"/>
    <w:rsid w:val="65071890"/>
    <w:rsid w:val="65757142"/>
    <w:rsid w:val="657C5CD0"/>
    <w:rsid w:val="659375C8"/>
    <w:rsid w:val="66124991"/>
    <w:rsid w:val="66130320"/>
    <w:rsid w:val="66155CE2"/>
    <w:rsid w:val="668D2269"/>
    <w:rsid w:val="66F84B4B"/>
    <w:rsid w:val="6700239E"/>
    <w:rsid w:val="679A69EC"/>
    <w:rsid w:val="67B81568"/>
    <w:rsid w:val="68B22C67"/>
    <w:rsid w:val="699B459C"/>
    <w:rsid w:val="6A55553C"/>
    <w:rsid w:val="6AD407C1"/>
    <w:rsid w:val="6AE7034E"/>
    <w:rsid w:val="6B160A7F"/>
    <w:rsid w:val="6BC524A5"/>
    <w:rsid w:val="6BCF3EDB"/>
    <w:rsid w:val="6BD821D8"/>
    <w:rsid w:val="6CDD1FE1"/>
    <w:rsid w:val="6CF12F78"/>
    <w:rsid w:val="6D37068B"/>
    <w:rsid w:val="6D486EEA"/>
    <w:rsid w:val="6E0F0C7F"/>
    <w:rsid w:val="6EB04D47"/>
    <w:rsid w:val="6F9B1553"/>
    <w:rsid w:val="704158C2"/>
    <w:rsid w:val="7104137A"/>
    <w:rsid w:val="718B3849"/>
    <w:rsid w:val="71B44B4E"/>
    <w:rsid w:val="72EC6569"/>
    <w:rsid w:val="73132066"/>
    <w:rsid w:val="734E2D80"/>
    <w:rsid w:val="73B54BAD"/>
    <w:rsid w:val="73B84774"/>
    <w:rsid w:val="73CB0004"/>
    <w:rsid w:val="73FC3614"/>
    <w:rsid w:val="75271ADB"/>
    <w:rsid w:val="753C2D4B"/>
    <w:rsid w:val="75481703"/>
    <w:rsid w:val="759814DF"/>
    <w:rsid w:val="75F47FF3"/>
    <w:rsid w:val="7637753B"/>
    <w:rsid w:val="76A64134"/>
    <w:rsid w:val="76C021E7"/>
    <w:rsid w:val="7725204A"/>
    <w:rsid w:val="77420E4E"/>
    <w:rsid w:val="78D635FC"/>
    <w:rsid w:val="78F148D9"/>
    <w:rsid w:val="796E3F95"/>
    <w:rsid w:val="79DE4E5E"/>
    <w:rsid w:val="79F006ED"/>
    <w:rsid w:val="7A97325F"/>
    <w:rsid w:val="7AC202DC"/>
    <w:rsid w:val="7B0C59FB"/>
    <w:rsid w:val="7B4564CC"/>
    <w:rsid w:val="7BDC53CD"/>
    <w:rsid w:val="7D6C2781"/>
    <w:rsid w:val="7D7020D1"/>
    <w:rsid w:val="7DB14539"/>
    <w:rsid w:val="7DB22B5E"/>
    <w:rsid w:val="7DD02D0F"/>
    <w:rsid w:val="7E327526"/>
    <w:rsid w:val="7ED851F8"/>
    <w:rsid w:val="7F42696A"/>
    <w:rsid w:val="7F8244DD"/>
    <w:rsid w:val="7F95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5"/>
    <w:qFormat/>
    <w:uiPriority w:val="0"/>
    <w:pPr>
      <w:spacing w:after="120"/>
    </w:pPr>
    <w:rPr>
      <w:rFonts w:ascii="Times New Roman" w:hAnsi="Times New Roman"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link w:val="14"/>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footnote reference"/>
    <w:basedOn w:val="11"/>
    <w:qFormat/>
    <w:uiPriority w:val="0"/>
    <w:rPr>
      <w:vertAlign w:val="superscript"/>
    </w:rPr>
  </w:style>
  <w:style w:type="character" w:customStyle="1" w:styleId="14">
    <w:name w:val="脚注文本 字符"/>
    <w:basedOn w:val="11"/>
    <w:link w:val="7"/>
    <w:qFormat/>
    <w:uiPriority w:val="0"/>
    <w:rPr>
      <w:rFonts w:hint="default" w:ascii="Calibri" w:hAnsi="Calibri" w:eastAsia="宋体" w:cs="Times New Roman"/>
      <w:kern w:val="2"/>
      <w:sz w:val="18"/>
      <w:szCs w:val="24"/>
    </w:rPr>
  </w:style>
  <w:style w:type="character" w:customStyle="1" w:styleId="15">
    <w:name w:val="正文文本 字符"/>
    <w:basedOn w:val="11"/>
    <w:link w:val="4"/>
    <w:qFormat/>
    <w:uiPriority w:val="0"/>
    <w:rPr>
      <w:rFonts w:hint="eastAsia" w:ascii="仿宋_GB2312" w:eastAsia="仿宋_GB2312" w:cs="Times New Roman"/>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3644</Words>
  <Characters>3659</Characters>
  <Lines>0</Lines>
  <Paragraphs>0</Paragraphs>
  <TotalTime>2</TotalTime>
  <ScaleCrop>false</ScaleCrop>
  <LinksUpToDate>false</LinksUpToDate>
  <CharactersWithSpaces>3804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2025-04-14T07:04:00Z</dcterms:created>
  <dc:creator>Dell</dc:creator>
  <cp:lastModifiedBy> 桂桂</cp:lastModifiedBy>
  <cp:lastPrinted>2025-07-16T08:38:00Z</cp:lastPrinted>
  <dcterms:modified xsi:type="dcterms:W3CDTF">2025-07-17T09:41:38Z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eyJoZGlkIjoiMmM2MzcwMTU4MDQwYmFjNzRkZjNiYTM2NjFiNzM4YjYiLCJ1c2VySWQiOiI0OTE2MTM0MzIifQ==</vt:lpwstr>
  </property>
  <property fmtid="{D5CDD505-2E9C-101B-9397-08002B2CF9AE}" pid="4" name="ICV">
    <vt:lpwstr>BFA8B466A0164272B4CCFA28965902EC_12</vt:lpwstr>
  </property>
</Properties>
</file>