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ind w:firstLine="0" w:firstLineChars="0"/>
        <w:jc w:val="both"/>
        <w:textAlignment w:val="auto"/>
        <w:outlineLvl w:val="9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</w:p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ind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中国工程科技发展战略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  <w:t>云南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研究院关于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ind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征集2020年战略咨询研究项目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  <w:t>选题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ind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通知</w:t>
      </w:r>
    </w:p>
    <w:p>
      <w:pP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outlineLvl w:val="9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</w:rPr>
        <w:t>各有关单位：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outlineLvl w:val="9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</w:rPr>
        <w:t>中国工程科技发展战略</w:t>
      </w: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eastAsia="zh-CN"/>
        </w:rPr>
        <w:t>云南</w:t>
      </w: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</w:rPr>
        <w:t>研究院（以下简称“</w:t>
      </w: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eastAsia="zh-CN"/>
        </w:rPr>
        <w:t>云南</w:t>
      </w: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</w:rPr>
        <w:t>研究院”）是中国工程院和</w:t>
      </w: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eastAsia="zh-CN"/>
        </w:rPr>
        <w:t>云南省</w:t>
      </w: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</w:rPr>
        <w:t>人民政府共建的区域高端智库。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旨在为云南经济社会及工程科技发展中的重大需求提供精准服务，提出前瞻性、综合性、针对性的建议，以科学咨询服务云南科学决策，以科学决策引领云南创新发展。云南研究院以发挥工程院院士作用为核心，以项目研究为纽带，</w:t>
      </w: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</w:rPr>
        <w:t>组织院士及相关领域专家开展战略研究，提出专业化、建设性、切实管用的意见和建议，为</w:t>
      </w: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eastAsia="zh-CN"/>
        </w:rPr>
        <w:t>云南</w:t>
      </w: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</w:rPr>
        <w:t>实施创新驱动发展战略贡献智慧和力量</w:t>
      </w: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outlineLvl w:val="9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eastAsia="zh-CN"/>
        </w:rPr>
        <w:t>根据中国工程院部署安排，云南</w:t>
      </w: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</w:rPr>
        <w:t>研究院面向全</w:t>
      </w: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eastAsia="zh-CN"/>
        </w:rPr>
        <w:t>省</w:t>
      </w: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</w:rPr>
        <w:t>公开征集2020年战略咨询研究项目选题。现将有关事项通知如下：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outlineLvl w:val="9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  <w:t>一、选题范围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baseline"/>
        <w:outlineLvl w:val="9"/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</w:rPr>
        <w:t>围绕省政府工作报告确定的本年度工作重点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  <w:lang w:eastAsia="zh-CN"/>
        </w:rPr>
        <w:t>，聚焦云南省发展三大定位，重点支持“两型三化”现代产业体系、八大重点产业、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</w:rPr>
        <w:t>打造世界一流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  <w:lang w:eastAsia="zh-CN"/>
        </w:rPr>
        <w:t>“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</w:rPr>
        <w:t>三张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  <w:lang w:eastAsia="zh-CN"/>
        </w:rPr>
        <w:t>”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</w:rPr>
        <w:t>牌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  <w:lang w:eastAsia="zh-CN"/>
        </w:rPr>
        <w:t>和“数字云南”等领域；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</w:rPr>
        <w:t>聚焦本地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  <w:lang w:eastAsia="zh-CN"/>
        </w:rPr>
        <w:t>区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</w:rPr>
        <w:t>重点行业“卡脖子”关键核心问题，地方重大工程科技问题、重要战略规划和重点产业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  <w:lang w:eastAsia="zh-CN"/>
        </w:rPr>
        <w:t>。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baseline"/>
        <w:outlineLvl w:val="9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二、组织形式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baseline"/>
        <w:outlineLvl w:val="9"/>
        <w:rPr>
          <w:rFonts w:ascii="Times New Roman" w:hAnsi="Times New Roman" w:eastAsia="方正仿宋_GBK" w:cs="Times New Roman"/>
          <w:color w:val="00000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</w:rPr>
        <w:t>相关单位组织申报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  <w:lang w:eastAsia="zh-CN"/>
        </w:rPr>
        <w:t>并填写《</w:t>
      </w: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</w:rPr>
        <w:t>中国工程科技发展战略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</w:rPr>
        <w:t>云南研究院2020年咨询研究项目选题建议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  <w:lang w:eastAsia="zh-CN"/>
        </w:rPr>
        <w:t>汇总表》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</w:rPr>
        <w:t>（见附件）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/>
        </w:rPr>
        <w:t>,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</w:rPr>
        <w:t>报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  <w:lang w:eastAsia="zh-CN"/>
        </w:rPr>
        <w:t>送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</w:rPr>
        <w:t>云南研究院办公室，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  <w:lang w:eastAsia="zh-CN"/>
        </w:rPr>
        <w:t>由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</w:rPr>
        <w:t>云南研究院办公室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  <w:lang w:eastAsia="zh-CN"/>
        </w:rPr>
        <w:t>统一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</w:rPr>
        <w:t>上报中国工程院科技合作办公室审定。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baseline"/>
        <w:outlineLvl w:val="9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三、其他事项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baseline"/>
        <w:outlineLvl w:val="9"/>
        <w:rPr>
          <w:rFonts w:ascii="Times New Roman" w:eastAsia="方正仿宋_GBK"/>
          <w:color w:val="auto"/>
          <w:sz w:val="32"/>
          <w:szCs w:val="32"/>
        </w:rPr>
      </w:pPr>
      <w:r>
        <w:rPr>
          <w:rFonts w:hint="eastAsia" w:ascii="Times New Roman" w:eastAsia="方正仿宋_GBK"/>
          <w:sz w:val="32"/>
          <w:szCs w:val="32"/>
        </w:rPr>
        <w:t>（一）项目选题均采取电子邮件申报方式，电子版材料</w:t>
      </w:r>
      <w:r>
        <w:rPr>
          <w:rFonts w:hint="eastAsia" w:ascii="Times New Roman" w:eastAsia="方正仿宋_GBK"/>
          <w:color w:val="auto"/>
          <w:sz w:val="32"/>
          <w:szCs w:val="32"/>
        </w:rPr>
        <w:t>发送至云南研究院邮箱ynyjyxmb@163.com。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baseline"/>
        <w:outlineLvl w:val="9"/>
        <w:rPr>
          <w:rFonts w:ascii="Times New Roman" w:eastAsia="方正仿宋_GBK"/>
          <w:sz w:val="32"/>
          <w:szCs w:val="32"/>
        </w:rPr>
      </w:pPr>
      <w:r>
        <w:rPr>
          <w:rFonts w:hint="eastAsia" w:ascii="Times New Roman" w:eastAsia="方正仿宋_GBK"/>
          <w:sz w:val="32"/>
          <w:szCs w:val="32"/>
        </w:rPr>
        <w:t>（二）项目选题申报受理截止时间为2019年8月9日17:00，逾期不予受理。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baseline"/>
        <w:outlineLvl w:val="9"/>
        <w:rPr>
          <w:rFonts w:ascii="Times New Roman" w:eastAsia="方正仿宋_GBK"/>
          <w:sz w:val="32"/>
          <w:szCs w:val="32"/>
        </w:rPr>
      </w:pPr>
      <w:r>
        <w:rPr>
          <w:rFonts w:hint="eastAsia" w:ascii="Times New Roman" w:eastAsia="方正仿宋_GBK"/>
          <w:sz w:val="32"/>
          <w:szCs w:val="32"/>
        </w:rPr>
        <w:t>联系人</w:t>
      </w:r>
      <w:r>
        <w:rPr>
          <w:rFonts w:hint="eastAsia" w:ascii="Times New Roman" w:eastAsia="方正仿宋_GBK"/>
          <w:sz w:val="32"/>
          <w:szCs w:val="32"/>
          <w:lang w:eastAsia="zh-CN"/>
        </w:rPr>
        <w:t>及电话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Chars="200" w:right="0" w:rightChars="0" w:firstLine="1280" w:firstLineChars="400"/>
        <w:jc w:val="both"/>
        <w:textAlignment w:val="baseline"/>
        <w:outlineLvl w:val="9"/>
        <w:rPr>
          <w:rFonts w:hint="eastAsia" w:ascii="Times New Roman" w:eastAsia="方正仿宋_GBK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</w:rPr>
        <w:t>云南研究院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eastAsia="方正仿宋_GBK"/>
          <w:sz w:val="32"/>
          <w:szCs w:val="32"/>
        </w:rPr>
        <w:t>王晓萍</w:t>
      </w:r>
      <w:r>
        <w:rPr>
          <w:rFonts w:hint="eastAsia" w:ascii="Times New Roman" w:eastAsia="方正仿宋_GBK"/>
          <w:sz w:val="32"/>
          <w:szCs w:val="32"/>
          <w:lang w:eastAsia="zh-CN"/>
        </w:rPr>
        <w:t>，</w:t>
      </w:r>
      <w:r>
        <w:rPr>
          <w:rFonts w:hint="eastAsia" w:ascii="Times New Roman" w:eastAsia="方正仿宋_GBK"/>
          <w:sz w:val="32"/>
          <w:szCs w:val="32"/>
        </w:rPr>
        <w:t>13888971508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3520" w:firstLineChars="1100"/>
        <w:jc w:val="both"/>
        <w:textAlignment w:val="baseline"/>
        <w:outlineLvl w:val="9"/>
        <w:rPr>
          <w:rFonts w:ascii="Times New Roman" w:eastAsia="方正仿宋_GBK"/>
          <w:color w:val="auto"/>
          <w:sz w:val="32"/>
          <w:szCs w:val="32"/>
        </w:rPr>
      </w:pPr>
      <w:r>
        <w:rPr>
          <w:rFonts w:hint="eastAsia" w:ascii="Times New Roman" w:eastAsia="方正仿宋_GBK"/>
          <w:color w:val="auto"/>
          <w:sz w:val="32"/>
          <w:szCs w:val="32"/>
        </w:rPr>
        <w:t>韩丰霞，13354653753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00" w:leftChars="200" w:hanging="960" w:hangingChars="300"/>
        <w:jc w:val="both"/>
        <w:textAlignment w:val="baseline"/>
        <w:outlineLvl w:val="9"/>
        <w:rPr>
          <w:rFonts w:ascii="Times New Roman" w:hAnsi="Times New Roman" w:eastAsia="方正仿宋_GBK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</w:rPr>
        <w:t>附件：</w:t>
      </w:r>
      <w:r>
        <w:rPr>
          <w:rFonts w:hint="eastAsia" w:ascii="Times New Roman" w:hAnsi="Times New Roman" w:eastAsia="方正仿宋_GBK"/>
          <w:color w:val="000000"/>
          <w:sz w:val="32"/>
          <w:szCs w:val="32"/>
        </w:rPr>
        <w:t>中国工程科技发展战略云南研究院2020年咨询研究项目选题建议汇总表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textAlignment w:val="baseline"/>
        <w:outlineLvl w:val="9"/>
        <w:rPr>
          <w:rFonts w:ascii="Times New Roman" w:hAnsi="Times New Roman" w:eastAsia="方正仿宋_GBK" w:cs="Times New Roman"/>
          <w:color w:val="000000"/>
          <w:kern w:val="2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textAlignment w:val="baseline"/>
        <w:outlineLvl w:val="9"/>
        <w:rPr>
          <w:rFonts w:ascii="Times New Roman" w:hAnsi="Times New Roman" w:eastAsia="方正仿宋_GBK" w:cs="Times New Roman"/>
          <w:color w:val="000000"/>
          <w:kern w:val="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880" w:firstLineChars="900"/>
        <w:outlineLvl w:val="9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</w:rPr>
        <w:t>中国工程科技发展战略</w:t>
      </w: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eastAsia="zh-CN"/>
        </w:rPr>
        <w:t>云南</w:t>
      </w: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</w:rPr>
        <w:t>研究院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160" w:firstLineChars="1300"/>
        <w:outlineLvl w:val="9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</w:rPr>
        <w:t>2019年7月</w:t>
      </w: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>30</w:t>
      </w: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</w:rPr>
        <w:t>日</w:t>
      </w:r>
    </w:p>
    <w:p>
      <w:pPr>
        <w:pStyle w:val="5"/>
        <w:shd w:val="clear" w:color="auto" w:fill="FFFFFF"/>
        <w:spacing w:before="0" w:beforeAutospacing="0" w:after="0" w:afterAutospacing="0" w:line="330" w:lineRule="atLeast"/>
        <w:textAlignment w:val="baseline"/>
        <w:rPr>
          <w:rFonts w:ascii="Times New Roman" w:hAnsi="Times New Roman" w:eastAsia="方正仿宋_GBK" w:cs="Times New Roman"/>
          <w:color w:val="000000"/>
          <w:kern w:val="2"/>
          <w:sz w:val="32"/>
          <w:szCs w:val="32"/>
        </w:rPr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spacing w:line="574" w:lineRule="exact"/>
        <w:ind w:firstLine="0" w:firstLineChars="0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</w:p>
    <w:p>
      <w:pPr>
        <w:spacing w:line="574" w:lineRule="exact"/>
        <w:jc w:val="center"/>
        <w:rPr>
          <w:rFonts w:hint="eastAsia" w:ascii="方正小标宋_GBK" w:hAnsi="Times New Roman" w:eastAsia="方正小标宋_GBK"/>
          <w:b w:val="0"/>
          <w:bCs w:val="0"/>
          <w:color w:val="000000"/>
          <w:sz w:val="32"/>
          <w:szCs w:val="32"/>
        </w:rPr>
      </w:pPr>
    </w:p>
    <w:p>
      <w:pPr>
        <w:spacing w:line="574" w:lineRule="exact"/>
        <w:jc w:val="center"/>
        <w:rPr>
          <w:rFonts w:ascii="方正小标宋_GBK" w:hAnsi="Times New Roman" w:eastAsia="方正小标宋_GBK"/>
          <w:b w:val="0"/>
          <w:bCs w:val="0"/>
          <w:color w:val="000000"/>
          <w:sz w:val="32"/>
          <w:szCs w:val="32"/>
        </w:rPr>
      </w:pPr>
      <w:r>
        <w:rPr>
          <w:rFonts w:hint="eastAsia" w:ascii="方正小标宋_GBK" w:hAnsi="Times New Roman" w:eastAsia="方正小标宋_GBK"/>
          <w:b w:val="0"/>
          <w:bCs w:val="0"/>
          <w:color w:val="000000"/>
          <w:sz w:val="32"/>
          <w:szCs w:val="32"/>
        </w:rPr>
        <w:t>中国工程科技发展战略云南研究院</w:t>
      </w:r>
    </w:p>
    <w:p>
      <w:pPr>
        <w:spacing w:line="574" w:lineRule="exact"/>
        <w:jc w:val="center"/>
        <w:rPr>
          <w:rFonts w:hint="eastAsia" w:ascii="方正小标宋_GBK" w:hAnsi="Times New Roman" w:eastAsia="方正小标宋_GBK"/>
          <w:b w:val="0"/>
          <w:bCs w:val="0"/>
          <w:color w:val="000000"/>
          <w:sz w:val="32"/>
          <w:szCs w:val="32"/>
        </w:rPr>
      </w:pPr>
      <w:r>
        <w:rPr>
          <w:rFonts w:hint="eastAsia" w:ascii="方正小标宋_GBK" w:hAnsi="Times New Roman" w:eastAsia="方正小标宋_GBK"/>
          <w:b w:val="0"/>
          <w:bCs w:val="0"/>
          <w:color w:val="000000"/>
          <w:sz w:val="32"/>
          <w:szCs w:val="32"/>
        </w:rPr>
        <w:t>2020年咨询研究项目选题建议汇总表</w:t>
      </w:r>
    </w:p>
    <w:p>
      <w:pPr>
        <w:pStyle w:val="2"/>
      </w:pPr>
    </w:p>
    <w:tbl>
      <w:tblPr>
        <w:tblStyle w:val="8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"/>
        <w:gridCol w:w="2165"/>
        <w:gridCol w:w="4585"/>
        <w:gridCol w:w="14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0" w:type="dxa"/>
            <w:vAlign w:val="top"/>
          </w:tcPr>
          <w:p>
            <w:pPr>
              <w:spacing w:line="574" w:lineRule="exact"/>
              <w:ind w:firstLine="0" w:firstLineChars="0"/>
              <w:jc w:val="center"/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序号</w:t>
            </w:r>
          </w:p>
        </w:tc>
        <w:tc>
          <w:tcPr>
            <w:tcW w:w="2165" w:type="dxa"/>
            <w:vAlign w:val="top"/>
          </w:tcPr>
          <w:p>
            <w:pPr>
              <w:spacing w:line="574" w:lineRule="exact"/>
              <w:ind w:firstLine="0" w:firstLineChars="0"/>
              <w:jc w:val="center"/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选题方向</w:t>
            </w:r>
          </w:p>
        </w:tc>
        <w:tc>
          <w:tcPr>
            <w:tcW w:w="4585" w:type="dxa"/>
            <w:vAlign w:val="top"/>
          </w:tcPr>
          <w:p>
            <w:pPr>
              <w:spacing w:line="574" w:lineRule="exact"/>
              <w:ind w:firstLine="0" w:firstLineChars="0"/>
              <w:jc w:val="center"/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主要研究内容</w:t>
            </w:r>
          </w:p>
        </w:tc>
        <w:tc>
          <w:tcPr>
            <w:tcW w:w="1480" w:type="dxa"/>
            <w:vAlign w:val="top"/>
          </w:tcPr>
          <w:p>
            <w:pPr>
              <w:spacing w:line="574" w:lineRule="exact"/>
              <w:ind w:firstLine="0" w:firstLineChars="0"/>
              <w:jc w:val="center"/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选题来源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0" w:type="dxa"/>
            <w:vAlign w:val="top"/>
          </w:tcPr>
          <w:p>
            <w:pPr>
              <w:spacing w:line="574" w:lineRule="exact"/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</w:p>
        </w:tc>
        <w:tc>
          <w:tcPr>
            <w:tcW w:w="2165" w:type="dxa"/>
            <w:vAlign w:val="top"/>
          </w:tcPr>
          <w:p>
            <w:pPr>
              <w:spacing w:line="574" w:lineRule="exact"/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</w:p>
        </w:tc>
        <w:tc>
          <w:tcPr>
            <w:tcW w:w="4585" w:type="dxa"/>
            <w:vAlign w:val="top"/>
          </w:tcPr>
          <w:p>
            <w:pPr>
              <w:spacing w:line="574" w:lineRule="exact"/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</w:p>
        </w:tc>
        <w:tc>
          <w:tcPr>
            <w:tcW w:w="1480" w:type="dxa"/>
            <w:vAlign w:val="top"/>
          </w:tcPr>
          <w:p>
            <w:pPr>
              <w:spacing w:line="574" w:lineRule="exact"/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0" w:type="dxa"/>
            <w:vAlign w:val="top"/>
          </w:tcPr>
          <w:p>
            <w:pPr>
              <w:spacing w:line="574" w:lineRule="exact"/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</w:p>
        </w:tc>
        <w:tc>
          <w:tcPr>
            <w:tcW w:w="2165" w:type="dxa"/>
            <w:vAlign w:val="top"/>
          </w:tcPr>
          <w:p>
            <w:pPr>
              <w:spacing w:line="574" w:lineRule="exact"/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</w:p>
        </w:tc>
        <w:tc>
          <w:tcPr>
            <w:tcW w:w="4585" w:type="dxa"/>
            <w:vAlign w:val="top"/>
          </w:tcPr>
          <w:p>
            <w:pPr>
              <w:spacing w:line="574" w:lineRule="exact"/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</w:p>
        </w:tc>
        <w:tc>
          <w:tcPr>
            <w:tcW w:w="1480" w:type="dxa"/>
            <w:vAlign w:val="top"/>
          </w:tcPr>
          <w:p>
            <w:pPr>
              <w:spacing w:line="574" w:lineRule="exact"/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0" w:type="dxa"/>
            <w:vAlign w:val="top"/>
          </w:tcPr>
          <w:p>
            <w:pPr>
              <w:spacing w:line="574" w:lineRule="exact"/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</w:p>
        </w:tc>
        <w:tc>
          <w:tcPr>
            <w:tcW w:w="2165" w:type="dxa"/>
            <w:vAlign w:val="top"/>
          </w:tcPr>
          <w:p>
            <w:pPr>
              <w:spacing w:line="574" w:lineRule="exact"/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</w:p>
        </w:tc>
        <w:tc>
          <w:tcPr>
            <w:tcW w:w="4585" w:type="dxa"/>
            <w:vAlign w:val="top"/>
          </w:tcPr>
          <w:p>
            <w:pPr>
              <w:spacing w:line="574" w:lineRule="exact"/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</w:p>
        </w:tc>
        <w:tc>
          <w:tcPr>
            <w:tcW w:w="1480" w:type="dxa"/>
            <w:vAlign w:val="top"/>
          </w:tcPr>
          <w:p>
            <w:pPr>
              <w:spacing w:line="574" w:lineRule="exact"/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0" w:type="dxa"/>
            <w:vAlign w:val="top"/>
          </w:tcPr>
          <w:p>
            <w:pPr>
              <w:spacing w:line="574" w:lineRule="exact"/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</w:p>
        </w:tc>
        <w:tc>
          <w:tcPr>
            <w:tcW w:w="2165" w:type="dxa"/>
            <w:vAlign w:val="top"/>
          </w:tcPr>
          <w:p>
            <w:pPr>
              <w:spacing w:line="574" w:lineRule="exact"/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</w:p>
        </w:tc>
        <w:tc>
          <w:tcPr>
            <w:tcW w:w="4585" w:type="dxa"/>
            <w:vAlign w:val="top"/>
          </w:tcPr>
          <w:p>
            <w:pPr>
              <w:spacing w:line="574" w:lineRule="exact"/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</w:p>
        </w:tc>
        <w:tc>
          <w:tcPr>
            <w:tcW w:w="1480" w:type="dxa"/>
            <w:vAlign w:val="top"/>
          </w:tcPr>
          <w:p>
            <w:pPr>
              <w:spacing w:line="574" w:lineRule="exact"/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0" w:type="dxa"/>
            <w:vAlign w:val="top"/>
          </w:tcPr>
          <w:p>
            <w:pPr>
              <w:spacing w:line="574" w:lineRule="exact"/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</w:p>
        </w:tc>
        <w:tc>
          <w:tcPr>
            <w:tcW w:w="2165" w:type="dxa"/>
            <w:vAlign w:val="top"/>
          </w:tcPr>
          <w:p>
            <w:pPr>
              <w:spacing w:line="574" w:lineRule="exact"/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</w:p>
        </w:tc>
        <w:tc>
          <w:tcPr>
            <w:tcW w:w="4585" w:type="dxa"/>
            <w:vAlign w:val="top"/>
          </w:tcPr>
          <w:p>
            <w:pPr>
              <w:spacing w:line="574" w:lineRule="exact"/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</w:p>
        </w:tc>
        <w:tc>
          <w:tcPr>
            <w:tcW w:w="1480" w:type="dxa"/>
            <w:vAlign w:val="top"/>
          </w:tcPr>
          <w:p>
            <w:pPr>
              <w:spacing w:line="574" w:lineRule="exact"/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</w:p>
        </w:tc>
      </w:tr>
    </w:tbl>
    <w:p>
      <w:pPr>
        <w:spacing w:line="574" w:lineRule="exact"/>
        <w:rPr>
          <w:rFonts w:ascii="方正黑体_GBK" w:hAnsi="方正黑体_GBK" w:eastAsia="方正黑体_GBK" w:cs="方正黑体_GBK"/>
          <w:sz w:val="28"/>
          <w:szCs w:val="28"/>
        </w:rPr>
      </w:pPr>
    </w:p>
    <w:p>
      <w:pPr>
        <w:spacing w:line="300" w:lineRule="auto"/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方正仿宋_GBK" w:cs="Times New Roman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仿宋_GBK" w:cs="Times New Roman"/>
          <w:sz w:val="28"/>
          <w:szCs w:val="28"/>
        </w:rPr>
      </w:pPr>
    </w:p>
    <w:p>
      <w:pPr>
        <w:spacing w:line="560" w:lineRule="exact"/>
        <w:rPr>
          <w:rFonts w:hint="eastAsia" w:ascii="Times New Roman" w:hAnsi="Times New Roman" w:eastAsia="方正仿宋_GBK" w:cs="Times New Roman"/>
          <w:sz w:val="28"/>
          <w:szCs w:val="28"/>
        </w:rPr>
      </w:pPr>
    </w:p>
    <w:p>
      <w:pPr>
        <w:ind w:firstLine="640"/>
      </w:pPr>
    </w:p>
    <w:p>
      <w:pPr>
        <w:ind w:firstLine="640"/>
        <w:rPr>
          <w:rFonts w:hint="eastAsia"/>
        </w:rPr>
      </w:pPr>
    </w:p>
    <w:p>
      <w:pPr>
        <w:ind w:firstLine="640"/>
        <w:rPr>
          <w:rFonts w:hint="eastAsia"/>
        </w:rPr>
      </w:pPr>
    </w:p>
    <w:p>
      <w:pPr>
        <w:ind w:firstLine="640"/>
      </w:pPr>
    </w:p>
    <w:p>
      <w:pPr>
        <w:rPr>
          <w:rFonts w:hint="eastAsia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F56C71"/>
    <w:multiLevelType w:val="singleLevel"/>
    <w:tmpl w:val="71F56C71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BF4E09"/>
    <w:rsid w:val="5CBF4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99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ind w:firstLine="200" w:firstLineChars="200"/>
      <w:jc w:val="both"/>
    </w:pPr>
    <w:rPr>
      <w:rFonts w:ascii="Calibri" w:hAnsi="Calibri" w:eastAsia="方正仿宋简体" w:cs="Times New Roman"/>
      <w:kern w:val="2"/>
      <w:sz w:val="32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  <w:rPr>
      <w:rFonts w:eastAsia="宋体"/>
      <w:sz w:val="21"/>
      <w:szCs w:val="24"/>
    </w:rPr>
  </w:style>
  <w:style w:type="paragraph" w:styleId="3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ind w:firstLine="200" w:firstLineChars="200"/>
      <w:jc w:val="left"/>
    </w:pPr>
    <w:rPr>
      <w:rFonts w:ascii="Times New Roman" w:hAnsi="Times New Roman"/>
      <w:sz w:val="18"/>
      <w:szCs w:val="18"/>
    </w:rPr>
  </w:style>
  <w:style w:type="paragraph" w:styleId="4">
    <w:name w:val="header"/>
    <w:basedOn w:val="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ind w:firstLine="200" w:firstLineChars="200"/>
      <w:jc w:val="center"/>
    </w:pPr>
    <w:rPr>
      <w:rFonts w:ascii="Times New Roman" w:hAnsi="Times New Roman"/>
      <w:sz w:val="18"/>
      <w:szCs w:val="18"/>
    </w:rPr>
  </w:style>
  <w:style w:type="paragraph" w:styleId="5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云南省科学技术厅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2019-08-05T00:45:00Z</dcterms:created>
  <dc:creator>刘薇</dc:creator>
  <cp:lastModifiedBy>刘薇</cp:lastModifiedBy>
  <dcterms:modified xsi:type="dcterms:W3CDTF">2019-08-05T06:58:47Z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