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50" w:afterLines="50" w:line="440" w:lineRule="exact"/>
        <w:jc w:val="left"/>
        <w:textAlignment w:val="auto"/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50" w:afterLines="50" w:line="4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2"/>
          <w:szCs w:val="32"/>
          <w:lang w:val="en-US" w:eastAsia="zh-CN"/>
        </w:rPr>
        <w:t>云南省科学技术发展研究院2020年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fldChar w:fldCharType="begin"/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instrText xml:space="preserve"> HYPERLINK "http://www.ynstc.gov.cn/tzgg/xgwd/201704260002.xls" </w:instrTex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2"/>
          <w:szCs w:val="32"/>
        </w:rPr>
        <w:t>一季度预算执行情况统计表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2"/>
          <w:szCs w:val="32"/>
        </w:rPr>
        <w:fldChar w:fldCharType="end"/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50" w:afterLines="50" w:line="440" w:lineRule="exact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28"/>
          <w:szCs w:val="28"/>
        </w:rPr>
        <w:t>填报日期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28"/>
          <w:szCs w:val="28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28"/>
          <w:szCs w:val="28"/>
        </w:rPr>
        <w:t>2020年4月20日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28"/>
          <w:szCs w:val="28"/>
          <w:lang w:val="en-US" w:eastAsia="zh-CN"/>
        </w:rPr>
        <w:t xml:space="preserve">                                                              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28"/>
          <w:szCs w:val="28"/>
        </w:rPr>
        <w:t>单位：万元</w:t>
      </w:r>
    </w:p>
    <w:tbl>
      <w:tblPr>
        <w:tblStyle w:val="4"/>
        <w:tblW w:w="1495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7"/>
        <w:gridCol w:w="720"/>
        <w:gridCol w:w="705"/>
        <w:gridCol w:w="1198"/>
        <w:gridCol w:w="1052"/>
        <w:gridCol w:w="780"/>
        <w:gridCol w:w="1095"/>
        <w:gridCol w:w="630"/>
        <w:gridCol w:w="1185"/>
        <w:gridCol w:w="1485"/>
        <w:gridCol w:w="765"/>
        <w:gridCol w:w="1215"/>
        <w:gridCol w:w="765"/>
        <w:gridCol w:w="1050"/>
        <w:gridCol w:w="147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8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年初预算数</w:t>
            </w:r>
          </w:p>
        </w:tc>
        <w:tc>
          <w:tcPr>
            <w:tcW w:w="29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一季度</w:t>
            </w:r>
          </w:p>
        </w:tc>
        <w:tc>
          <w:tcPr>
            <w:tcW w:w="5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二季度</w:t>
            </w:r>
          </w:p>
        </w:tc>
        <w:tc>
          <w:tcPr>
            <w:tcW w:w="527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三季度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当季度执行数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当季度完成年初预算%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较上年同期增减情况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当季度执行数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当季度完成年初预算%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累计执行数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累计完成年初预算%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累计执行数较上年同期增减情况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当季度执行数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当季度完成年初预算%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累计执行数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累计完成年初预算%</w:t>
            </w: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累计执行数较上年同期增减情况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收入征收入库金额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  <w:jc w:val="center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基本支出金额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432.27 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80.23 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18.56%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jc w:val="center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项目支出金额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120.46 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10.02 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8.32%</w:t>
            </w: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-1.87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50" w:afterLines="50" w:line="360" w:lineRule="exact"/>
        <w:jc w:val="both"/>
        <w:textAlignment w:val="auto"/>
        <w:rPr>
          <w:rFonts w:hint="eastAsia" w:ascii="Times New Roman" w:hAnsi="Times New Roman" w:eastAsia="方正仿宋_GBK" w:cs="Times New Roman"/>
          <w:color w:val="000000"/>
          <w:kern w:val="0"/>
          <w:sz w:val="28"/>
          <w:szCs w:val="28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28"/>
          <w:szCs w:val="28"/>
        </w:rPr>
        <w:t>备注：年初预算-基本支出金额为：财政应返还额度26.85元+年初预算405.42万元=432.27万元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50" w:afterLines="50" w:line="360" w:lineRule="exact"/>
        <w:ind w:firstLine="840" w:firstLineChars="300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24"/>
          <w:szCs w:val="24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28"/>
          <w:szCs w:val="28"/>
        </w:rPr>
        <w:t>项目支出金额为：财政应返还额度120.46万元。</w:t>
      </w:r>
      <w:r>
        <w:rPr>
          <w:rFonts w:hint="default" w:ascii="Times New Roman" w:hAnsi="Times New Roman" w:eastAsia="方正仿宋_GBK" w:cs="Times New Roman"/>
        </w:rPr>
        <w:t xml:space="preserve">                               </w:t>
      </w:r>
    </w:p>
    <w:p/>
    <w:sectPr>
      <w:pgSz w:w="16838" w:h="11906" w:orient="landscape"/>
      <w:pgMar w:top="1644" w:right="1644" w:bottom="1644" w:left="1644" w:header="851" w:footer="992" w:gutter="0"/>
      <w:cols w:space="720" w:num="1"/>
      <w:rtlGutter w:val="0"/>
      <w:docGrid w:type="lines" w:linePitch="30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6B3A48"/>
    <w:rsid w:val="2D6B3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ind w:firstLine="200" w:firstLineChars="200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2020-04-22T08:47:00Z</dcterms:created>
  <dc:creator>刘薇</dc:creator>
  <cp:lastModifiedBy>刘薇</cp:lastModifiedBy>
  <dcterms:modified xsi:type="dcterms:W3CDTF">2020-04-22T08:47:46Z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