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uppressAutoHyphens/>
        <w:kinsoku/>
        <w:wordWrap/>
        <w:overflowPunct/>
        <w:autoSpaceDN/>
        <w:bidi w:val="0"/>
        <w:adjustRightInd w:val="0"/>
        <w:snapToGrid w:val="0"/>
        <w:spacing w:line="560" w:lineRule="exact"/>
        <w:jc w:val="left"/>
        <w:textAlignment w:val="auto"/>
        <w:rPr>
          <w:rFonts w:ascii="Times New Roman" w:hAnsi="Times New Roman" w:eastAsia="方正黑体_GBK"/>
          <w:sz w:val="32"/>
          <w:szCs w:val="32"/>
          <w:highlight w:val="none"/>
        </w:rPr>
      </w:pPr>
      <w:r>
        <w:rPr>
          <w:rFonts w:ascii="Times New Roman" w:hAnsi="Times New Roman" w:eastAsia="方正黑体_GBK"/>
          <w:sz w:val="32"/>
          <w:szCs w:val="32"/>
          <w:highlight w:val="none"/>
        </w:rPr>
        <w:t>附件3</w:t>
      </w:r>
    </w:p>
    <w:p>
      <w:pPr>
        <w:keepNext w:val="0"/>
        <w:keepLines w:val="0"/>
        <w:pageBreakBefore w:val="0"/>
        <w:kinsoku/>
        <w:wordWrap/>
        <w:overflowPunct/>
        <w:autoSpaceDN/>
        <w:bidi w:val="0"/>
        <w:snapToGrid w:val="0"/>
        <w:spacing w:before="312" w:beforeLines="100" w:after="312" w:afterLines="100" w:line="560" w:lineRule="exact"/>
        <w:jc w:val="center"/>
        <w:textAlignment w:val="auto"/>
        <w:rPr>
          <w:rFonts w:ascii="Times New Roman" w:hAnsi="Times New Roman" w:eastAsia="方正黑体_GBK"/>
          <w:color w:val="000000"/>
          <w:sz w:val="32"/>
          <w:szCs w:val="32"/>
          <w:highlight w:val="none"/>
        </w:rPr>
      </w:pPr>
      <w:r>
        <w:rPr>
          <w:rFonts w:ascii="Times New Roman" w:hAnsi="Times New Roman" w:eastAsia="方正小标宋_GBK"/>
          <w:sz w:val="44"/>
          <w:szCs w:val="44"/>
          <w:highlight w:val="none"/>
        </w:rPr>
        <w:t>2027年工业领域科技计划项目申报指南</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黑体_GBK"/>
          <w:color w:val="000000"/>
          <w:sz w:val="32"/>
          <w:szCs w:val="32"/>
          <w:highlight w:val="none"/>
        </w:rPr>
      </w:pPr>
      <w:r>
        <w:rPr>
          <w:rFonts w:ascii="Times New Roman" w:hAnsi="Times New Roman" w:eastAsia="方正黑体_GBK"/>
          <w:color w:val="000000"/>
          <w:sz w:val="32"/>
          <w:szCs w:val="32"/>
          <w:highlight w:val="none"/>
        </w:rPr>
        <w:t>一、重点领域总体目标、任务和绩效目标</w:t>
      </w:r>
    </w:p>
    <w:p>
      <w:pPr>
        <w:keepNext w:val="0"/>
        <w:keepLines w:val="0"/>
        <w:pageBreakBefore w:val="0"/>
        <w:suppressAutoHyphens/>
        <w:kinsoku/>
        <w:wordWrap/>
        <w:overflowPunct/>
        <w:autoSpaceDN/>
        <w:bidi w:val="0"/>
        <w:spacing w:line="560" w:lineRule="exact"/>
        <w:ind w:firstLine="626" w:firstLineChars="200"/>
        <w:textAlignment w:val="auto"/>
        <w:rPr>
          <w:rFonts w:ascii="Times New Roman" w:hAnsi="Times New Roman" w:eastAsia="方正仿宋_GBK"/>
          <w:color w:val="000000"/>
          <w:w w:val="98"/>
          <w:sz w:val="32"/>
          <w:szCs w:val="32"/>
          <w:highlight w:val="none"/>
        </w:rPr>
      </w:pPr>
      <w:r>
        <w:rPr>
          <w:rFonts w:ascii="Times New Roman" w:hAnsi="Times New Roman" w:eastAsia="方正仿宋_GBK"/>
          <w:color w:val="000000"/>
          <w:w w:val="98"/>
          <w:sz w:val="32"/>
          <w:szCs w:val="32"/>
          <w:highlight w:val="none"/>
        </w:rPr>
        <w:t>以科技创新为引领，做强做优做大资源型产业，持续巩固提升特色优势产业，因地制宜发展战略性新兴产业和未来产业，推动工业转型升级，加快构建具有云南特色优势的现代化工业产业体系，巩固壮大实体经济根基。强化企业创新主体地位，突出产业化应用支持导向，着力推动科技创新与产业创新深度融合，攻克一批产业发展急需的关键技术，开发一批市场前景好的重大新产品，引领重点产业</w:t>
      </w:r>
      <w:r>
        <w:rPr>
          <w:rFonts w:hint="eastAsia" w:ascii="Times New Roman" w:hAnsi="Times New Roman" w:eastAsia="方正仿宋_GBK"/>
          <w:color w:val="000000"/>
          <w:w w:val="98"/>
          <w:sz w:val="32"/>
          <w:szCs w:val="32"/>
          <w:highlight w:val="none"/>
        </w:rPr>
        <w:t>高质量发展</w:t>
      </w:r>
      <w:r>
        <w:rPr>
          <w:rFonts w:ascii="Times New Roman" w:hAnsi="Times New Roman" w:eastAsia="方正仿宋_GBK"/>
          <w:color w:val="000000"/>
          <w:w w:val="98"/>
          <w:sz w:val="32"/>
          <w:szCs w:val="32"/>
          <w:highlight w:val="none"/>
        </w:rPr>
        <w:t>。</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黑体_GBK"/>
          <w:color w:val="000000"/>
          <w:sz w:val="32"/>
          <w:szCs w:val="32"/>
          <w:highlight w:val="none"/>
        </w:rPr>
        <w:t>二、重点领域申报方向设置及立项总体要求</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方向设置：</w:t>
      </w:r>
      <w:r>
        <w:rPr>
          <w:rFonts w:ascii="Times New Roman" w:hAnsi="Times New Roman" w:eastAsia="方正仿宋_GBK"/>
          <w:color w:val="000000"/>
          <w:sz w:val="32"/>
          <w:szCs w:val="32"/>
          <w:highlight w:val="none"/>
        </w:rPr>
        <w:t>按照资源型产业和特色优势产业、战略性新兴产业、未来产业等设置</w:t>
      </w:r>
      <w:r>
        <w:rPr>
          <w:rFonts w:hint="eastAsia" w:ascii="Times New Roman" w:hAnsi="Times New Roman" w:eastAsia="方正仿宋_GBK"/>
          <w:color w:val="000000"/>
          <w:sz w:val="32"/>
          <w:szCs w:val="32"/>
          <w:highlight w:val="none"/>
        </w:rPr>
        <w:t>16</w:t>
      </w:r>
      <w:r>
        <w:rPr>
          <w:rFonts w:ascii="Times New Roman" w:hAnsi="Times New Roman" w:eastAsia="方正仿宋_GBK"/>
          <w:color w:val="000000"/>
          <w:sz w:val="32"/>
          <w:szCs w:val="32"/>
          <w:highlight w:val="none"/>
        </w:rPr>
        <w:t>个重点支持方向。</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资源型产业和特色优势产业：</w:t>
      </w:r>
      <w:r>
        <w:rPr>
          <w:rFonts w:ascii="Times New Roman" w:hAnsi="Times New Roman" w:eastAsia="方正仿宋_GBK"/>
          <w:color w:val="000000"/>
          <w:sz w:val="32"/>
          <w:szCs w:val="32"/>
          <w:highlight w:val="none"/>
        </w:rPr>
        <w:t>探矿增储与采选冶、有色金属精深加工、</w:t>
      </w:r>
      <w:r>
        <w:rPr>
          <w:rFonts w:hint="eastAsia" w:ascii="Times New Roman" w:hAnsi="Times New Roman" w:eastAsia="方正仿宋_GBK"/>
          <w:color w:val="000000"/>
          <w:sz w:val="32"/>
          <w:szCs w:val="32"/>
          <w:highlight w:val="none"/>
        </w:rPr>
        <w:t>特种钢铁材料</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color w:val="000000"/>
          <w:sz w:val="32"/>
          <w:szCs w:val="32"/>
          <w:highlight w:val="none"/>
        </w:rPr>
        <w:t>绿色铝、硅光伏、磷资源高效高值利用、绿色能源。</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战略性新兴产业：</w:t>
      </w:r>
      <w:r>
        <w:rPr>
          <w:rFonts w:ascii="Times New Roman" w:hAnsi="Times New Roman" w:eastAsia="方正仿宋_GBK"/>
          <w:color w:val="000000"/>
          <w:sz w:val="32"/>
          <w:szCs w:val="32"/>
          <w:highlight w:val="none"/>
        </w:rPr>
        <w:t>新材料、先进装备制造、数字经济、低空经济。</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未来产业：</w:t>
      </w:r>
      <w:r>
        <w:rPr>
          <w:rFonts w:ascii="Times New Roman" w:hAnsi="Times New Roman" w:eastAsia="方正仿宋_GBK"/>
          <w:color w:val="000000"/>
          <w:sz w:val="32"/>
          <w:szCs w:val="32"/>
          <w:highlight w:val="none"/>
        </w:rPr>
        <w:t>人工智能、氢能及新型储能、卫星应用。</w:t>
      </w:r>
    </w:p>
    <w:p>
      <w:pPr>
        <w:keepNext w:val="0"/>
        <w:keepLines w:val="0"/>
        <w:pageBreakBefore w:val="0"/>
        <w:kinsoku/>
        <w:wordWrap/>
        <w:overflowPunct/>
        <w:autoSpaceDN/>
        <w:bidi w:val="0"/>
        <w:adjustRightInd w:val="0"/>
        <w:snapToGrid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其他支持方式：</w:t>
      </w:r>
      <w:r>
        <w:rPr>
          <w:rFonts w:ascii="Times New Roman" w:hAnsi="Times New Roman" w:eastAsia="方正仿宋_GBK"/>
          <w:color w:val="000000"/>
          <w:sz w:val="32"/>
          <w:szCs w:val="32"/>
          <w:highlight w:val="none"/>
        </w:rPr>
        <w:t>重大工程建设关键技术攻关、科技成果落地转化。</w:t>
      </w:r>
    </w:p>
    <w:p>
      <w:pPr>
        <w:keepNext w:val="0"/>
        <w:keepLines w:val="0"/>
        <w:pageBreakBefore w:val="0"/>
        <w:kinsoku/>
        <w:wordWrap/>
        <w:overflowPunct/>
        <w:autoSpaceDN/>
        <w:bidi w:val="0"/>
        <w:adjustRightInd w:val="0"/>
        <w:snapToGrid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总体要求：</w:t>
      </w:r>
      <w:r>
        <w:rPr>
          <w:rFonts w:ascii="Times New Roman" w:hAnsi="Times New Roman" w:eastAsia="方正仿宋_GBK"/>
          <w:color w:val="000000"/>
          <w:sz w:val="32"/>
          <w:szCs w:val="32"/>
          <w:highlight w:val="none"/>
        </w:rPr>
        <w:t>资源型产业、特色优势产业和战略性新兴产业方向（除低空经济</w:t>
      </w:r>
      <w:r>
        <w:rPr>
          <w:rFonts w:hint="eastAsia" w:ascii="Times New Roman" w:hAnsi="Times New Roman" w:eastAsia="方正仿宋_GBK"/>
          <w:color w:val="000000"/>
          <w:sz w:val="32"/>
          <w:szCs w:val="32"/>
          <w:highlight w:val="none"/>
          <w:lang w:eastAsia="zh-CN"/>
        </w:rPr>
        <w:t>外</w:t>
      </w:r>
      <w:r>
        <w:rPr>
          <w:rFonts w:ascii="Times New Roman" w:hAnsi="Times New Roman" w:eastAsia="方正仿宋_GBK"/>
          <w:color w:val="000000"/>
          <w:sz w:val="32"/>
          <w:szCs w:val="32"/>
          <w:highlight w:val="none"/>
        </w:rPr>
        <w:t>），牵头申报单位必须为企业，高校、科研院所可以作为参加单位开展产学研合作，共同申报。找矿探矿增储、低空经济、人工智能、氢能及新型储能、卫星应用等方向，牵头申报单位可以是企业，也可以是高等学校或者科研院所。</w:t>
      </w:r>
    </w:p>
    <w:p>
      <w:pPr>
        <w:keepNext w:val="0"/>
        <w:keepLines w:val="0"/>
        <w:pageBreakBefore w:val="0"/>
        <w:kinsoku/>
        <w:wordWrap/>
        <w:overflowPunct/>
        <w:autoSpaceDN/>
        <w:bidi w:val="0"/>
        <w:adjustRightInd w:val="0"/>
        <w:snapToGrid w:val="0"/>
        <w:spacing w:line="560" w:lineRule="exact"/>
        <w:ind w:firstLine="640" w:firstLineChars="200"/>
        <w:textAlignment w:val="auto"/>
        <w:rPr>
          <w:rFonts w:ascii="Times New Roman" w:hAnsi="Times New Roman" w:eastAsia="方正楷体_GBK"/>
          <w:color w:val="000000"/>
          <w:sz w:val="32"/>
          <w:szCs w:val="32"/>
          <w:highlight w:val="none"/>
        </w:rPr>
      </w:pPr>
      <w:r>
        <w:rPr>
          <w:rFonts w:ascii="Times New Roman" w:hAnsi="Times New Roman" w:eastAsia="方正黑体_GBK"/>
          <w:color w:val="000000"/>
          <w:sz w:val="32"/>
          <w:szCs w:val="32"/>
          <w:highlight w:val="none"/>
        </w:rPr>
        <w:t>三、</w:t>
      </w:r>
      <w:r>
        <w:rPr>
          <w:rFonts w:hint="eastAsia" w:ascii="Times New Roman" w:hAnsi="Times New Roman" w:eastAsia="方正黑体_GBK"/>
          <w:color w:val="000000"/>
          <w:sz w:val="32"/>
          <w:szCs w:val="32"/>
          <w:highlight w:val="none"/>
        </w:rPr>
        <w:t>重点</w:t>
      </w:r>
      <w:r>
        <w:rPr>
          <w:rFonts w:ascii="Times New Roman" w:hAnsi="Times New Roman" w:eastAsia="方正黑体_GBK"/>
          <w:color w:val="000000"/>
          <w:sz w:val="32"/>
          <w:szCs w:val="32"/>
          <w:highlight w:val="none"/>
        </w:rPr>
        <w:t>支持方向</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（一）资源型产业和特色优势产业</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bookmarkStart w:id="0" w:name="_Toc15582"/>
      <w:r>
        <w:rPr>
          <w:rFonts w:hint="default" w:ascii="Times New Roman" w:hAnsi="Times New Roman" w:eastAsia="方正仿宋_GBK" w:cs="Times New Roman"/>
          <w:b/>
          <w:bCs/>
          <w:color w:val="000000"/>
          <w:sz w:val="32"/>
          <w:szCs w:val="32"/>
          <w:highlight w:val="none"/>
          <w:lang w:val="en-US" w:eastAsia="zh-CN"/>
        </w:rPr>
        <w:t>1</w:t>
      </w:r>
      <w:r>
        <w:rPr>
          <w:rFonts w:hint="default" w:ascii="Times New Roman" w:hAnsi="Times New Roman" w:eastAsia="方正仿宋_GBK" w:cs="Times New Roman"/>
          <w:b/>
          <w:bCs/>
          <w:color w:val="000000"/>
          <w:sz w:val="32"/>
          <w:szCs w:val="32"/>
          <w:highlight w:val="none"/>
        </w:rPr>
        <w:t>.探</w:t>
      </w:r>
      <w:r>
        <w:rPr>
          <w:rFonts w:hint="eastAsia" w:ascii="方正仿宋_GBK" w:hAnsi="方正仿宋_GBK" w:eastAsia="方正仿宋_GBK" w:cs="方正仿宋_GBK"/>
          <w:b/>
          <w:bCs/>
          <w:color w:val="000000"/>
          <w:sz w:val="32"/>
          <w:szCs w:val="32"/>
          <w:highlight w:val="none"/>
        </w:rPr>
        <w:t>矿增储与采选冶</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方向一：找矿探矿增储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color w:val="000000"/>
          <w:kern w:val="0"/>
          <w:sz w:val="32"/>
          <w:szCs w:val="32"/>
          <w:highlight w:val="none"/>
        </w:rPr>
        <w:t>重点针对铜、铝、铅、锌、锡、镍、锗、铟、锂、铁、钒、钛、钴、金、锰、磷、页岩气、稀土、高纯石英、铂族金属、硒等战略性及优势矿产资源复杂成矿背景和多金属共伴生特点，开展成矿、找矿与选冶等理论研究与技术攻关，实现理论创新、技术突破和应用示范。</w:t>
      </w:r>
    </w:p>
    <w:p>
      <w:pPr>
        <w:keepNext w:val="0"/>
        <w:keepLines w:val="0"/>
        <w:pageBreakBefore w:val="0"/>
        <w:kinsoku/>
        <w:wordWrap/>
        <w:overflowPunct/>
        <w:topLinePunct/>
        <w:autoSpaceDE w:val="0"/>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4项，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方向二：先进采选技术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bCs/>
          <w:color w:val="000000"/>
          <w:sz w:val="32"/>
          <w:szCs w:val="32"/>
          <w:highlight w:val="none"/>
        </w:rPr>
        <w:t>重点围绕铜、铅、锌、锡、钛等有色金属和战略性资源矿产的采矿、选矿、冶炼、生产等环节，建立复杂共生矿有价组分精准回收体系，提升资源利用率，</w:t>
      </w:r>
      <w:r>
        <w:rPr>
          <w:rFonts w:ascii="Times New Roman" w:hAnsi="Times New Roman" w:eastAsia="方正仿宋_GBK"/>
          <w:color w:val="000000"/>
          <w:sz w:val="32"/>
          <w:szCs w:val="32"/>
          <w:highlight w:val="none"/>
        </w:rPr>
        <w:t>推动矿产资源节约集约和高效利用。开展深井及超深井勘探开采技术研发；研发金属矿复杂低品位厚大矿体智能开采技术；研发低品位矿体高效识别与精准高效采矿工艺；研发深部复杂金属矿非爆连续智能采掘技术和智能爆破技术；研发深部金属矿长距离充填管道智能监测与预警技术。</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方向三：有色金属冶炼及二次资源高效回收</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w w:val="98"/>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bCs/>
          <w:color w:val="000000"/>
          <w:w w:val="98"/>
          <w:sz w:val="32"/>
          <w:szCs w:val="32"/>
          <w:highlight w:val="none"/>
        </w:rPr>
        <w:t>铜、铅、锌、锡、钛等有色金属绿色冶炼新技术、新工艺开发与应用，冶炼中的高效分离、冶炼烟尘中钼锑铋等高效分离、铅锌冶炼渣铜铅以及锗铟锑银等资源高效回收、锡合金熔炼渣有价金属回收与再利用、高杂阳极铜高电流密度稳质调控、高质量高寿命铜模铸造等技术开发。</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bookmarkEnd w:id="0"/>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方向四：离子吸附型稀土矿靶区优选与勘查评价</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bCs/>
          <w:color w:val="000000"/>
          <w:sz w:val="32"/>
          <w:szCs w:val="32"/>
          <w:highlight w:val="none"/>
        </w:rPr>
        <w:t>重点针对离子吸附型稀土矿点多、面广、轻稀土富集特点，开展成矿、找矿和选冶等理论研究与技术攻关，实现离子吸附型稀土矿（尤其是中重稀土矿）成矿理论创新、找矿和选冶技术突破和应用示范。</w:t>
      </w:r>
    </w:p>
    <w:p>
      <w:pPr>
        <w:keepNext w:val="0"/>
        <w:keepLines w:val="0"/>
        <w:pageBreakBefore w:val="0"/>
        <w:kinsoku/>
        <w:wordWrap/>
        <w:overflowPunct/>
        <w:autoSpaceDE w:val="0"/>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suppressAutoHyphens/>
        <w:kinsoku/>
        <w:wordWrap/>
        <w:overflowPunct/>
        <w:autoSpaceDE w:val="0"/>
        <w:autoSpaceDN/>
        <w:bidi w:val="0"/>
        <w:spacing w:line="560" w:lineRule="exact"/>
        <w:ind w:firstLine="642" w:firstLineChars="200"/>
        <w:textAlignment w:val="auto"/>
        <w:rPr>
          <w:rFonts w:ascii="Times New Roman" w:hAnsi="Times New Roman" w:eastAsia="方正楷体_GBK"/>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bookmarkStart w:id="16" w:name="_GoBack"/>
      <w:r>
        <w:rPr>
          <w:rFonts w:hint="default" w:ascii="Times New Roman" w:hAnsi="Times New Roman" w:eastAsia="方正仿宋_GBK" w:cs="Times New Roman"/>
          <w:b/>
          <w:bCs/>
          <w:color w:val="000000"/>
          <w:sz w:val="32"/>
          <w:szCs w:val="32"/>
          <w:highlight w:val="none"/>
          <w:lang w:val="en-US" w:eastAsia="zh-CN"/>
        </w:rPr>
        <w:t>2</w:t>
      </w:r>
      <w:r>
        <w:rPr>
          <w:rFonts w:hint="default" w:ascii="Times New Roman" w:hAnsi="Times New Roman" w:eastAsia="方正仿宋_GBK" w:cs="Times New Roman"/>
          <w:b/>
          <w:bCs/>
          <w:color w:val="000000"/>
          <w:sz w:val="32"/>
          <w:szCs w:val="32"/>
          <w:highlight w:val="none"/>
        </w:rPr>
        <w:t>.有</w:t>
      </w:r>
      <w:bookmarkEnd w:id="16"/>
      <w:r>
        <w:rPr>
          <w:rFonts w:hint="eastAsia" w:ascii="方正仿宋_GBK" w:hAnsi="方正仿宋_GBK" w:eastAsia="方正仿宋_GBK" w:cs="方正仿宋_GBK"/>
          <w:b/>
          <w:bCs/>
          <w:color w:val="000000"/>
          <w:sz w:val="32"/>
          <w:szCs w:val="32"/>
          <w:highlight w:val="none"/>
        </w:rPr>
        <w:t>色金属精深加工</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方向一：铜合金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bCs/>
          <w:color w:val="000000"/>
          <w:sz w:val="32"/>
          <w:szCs w:val="32"/>
          <w:highlight w:val="none"/>
        </w:rPr>
        <w:t>航天、交通、通讯、电力电子、新能源汽车等领域用高强高导铜合金箔材、棒线材、板材、型材等加工成形、高性能铜合金复合材料加工、高纯铜粉、高纯铜锭制备等关键技术。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方向二：钛合金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eastAsia" w:ascii="方正仿宋_GBK" w:hAnsi="方正仿宋_GBK" w:eastAsia="方正仿宋_GBK" w:cs="方正仿宋_GBK"/>
          <w:b/>
          <w:bCs/>
          <w:color w:val="000000"/>
          <w:sz w:val="32"/>
          <w:szCs w:val="32"/>
          <w:highlight w:val="none"/>
        </w:rPr>
        <w:t>主要支持内容：</w:t>
      </w:r>
      <w:r>
        <w:rPr>
          <w:rFonts w:ascii="Times New Roman" w:hAnsi="Times New Roman" w:eastAsia="方正仿宋_GBK"/>
          <w:bCs/>
          <w:color w:val="000000"/>
          <w:sz w:val="32"/>
          <w:szCs w:val="32"/>
          <w:highlight w:val="none"/>
        </w:rPr>
        <w:t>航空航天、医疗器械、海洋工程、新能源汽车等领域用高端高比例返回料洁净钛合金熔铸、超宽幅高品质钛锭熔铸、高端转子级海绵钛制备、高端专用纳米钛白粉、3D打印用钛合金粉末、高端钛合金板带材及型材加工等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eastAsia" w:ascii="方正仿宋_GBK" w:hAnsi="方正仿宋_GBK" w:eastAsia="方正仿宋_GBK" w:cs="方正仿宋_GBK"/>
          <w:b/>
          <w:bCs/>
          <w:color w:val="000000"/>
          <w:sz w:val="32"/>
          <w:szCs w:val="32"/>
          <w:highlight w:val="none"/>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3</w:t>
      </w:r>
      <w:r>
        <w:rPr>
          <w:rFonts w:hint="default" w:ascii="Times New Roman" w:hAnsi="Times New Roman" w:eastAsia="方正仿宋_GBK" w:cs="Times New Roman"/>
          <w:b/>
          <w:bCs/>
          <w:color w:val="000000"/>
          <w:sz w:val="32"/>
          <w:szCs w:val="32"/>
          <w:highlight w:val="none"/>
        </w:rPr>
        <w:t>.特种钢铁材料</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kern w:val="0"/>
          <w:sz w:val="32"/>
          <w:szCs w:val="32"/>
          <w:highlight w:val="none"/>
          <w:lang w:bidi="zh-CN"/>
        </w:rPr>
      </w:pPr>
      <w:r>
        <w:rPr>
          <w:rFonts w:hint="default" w:ascii="Times New Roman" w:hAnsi="Times New Roman" w:eastAsia="方正仿宋_GBK" w:cs="Times New Roman"/>
          <w:b/>
          <w:bCs/>
          <w:color w:val="000000"/>
          <w:sz w:val="32"/>
          <w:szCs w:val="32"/>
          <w:highlight w:val="none"/>
        </w:rPr>
        <w:t>主要支持内容：</w:t>
      </w:r>
      <w:r>
        <w:rPr>
          <w:rFonts w:ascii="Times New Roman" w:hAnsi="Times New Roman" w:eastAsia="方正仿宋_GBK"/>
          <w:color w:val="000000"/>
          <w:sz w:val="32"/>
          <w:szCs w:val="32"/>
          <w:highlight w:val="none"/>
        </w:rPr>
        <w:t>支持高性能特种钢铁材料及复合材料关键技术研发。开发矿山用高强高韧磨球、衬板、锤头等超耐</w:t>
      </w:r>
      <w:r>
        <w:rPr>
          <w:rFonts w:ascii="Times New Roman" w:hAnsi="Times New Roman" w:eastAsia="方正仿宋_GBK"/>
          <w:color w:val="000000"/>
          <w:w w:val="98"/>
          <w:sz w:val="32"/>
          <w:szCs w:val="32"/>
          <w:highlight w:val="none"/>
        </w:rPr>
        <w:t>磨破碎部件材料、陶瓷颗粒增强钢铁基耐磨耐热复合材料、高性能轧辊，高强、耐磨、耐蚀、抗震的高性能特殊钢材料等关键技术；特种钢铁材料成分设计、组织调控及规模化制备技术。</w:t>
      </w:r>
    </w:p>
    <w:p>
      <w:pPr>
        <w:keepNext w:val="0"/>
        <w:keepLines w:val="0"/>
        <w:pageBreakBefore w:val="0"/>
        <w:kinsoku/>
        <w:wordWrap/>
        <w:overflowPunct/>
        <w:topLine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eastAsia" w:ascii="Times New Roman" w:hAnsi="Times New Roman" w:eastAsia="方正仿宋_GBK" w:cs="Times New Roman"/>
          <w:b/>
          <w:bCs/>
          <w:color w:val="000000"/>
          <w:sz w:val="32"/>
          <w:szCs w:val="32"/>
          <w:highlight w:val="none"/>
          <w:lang w:val="en-US" w:eastAsia="zh-CN"/>
        </w:rPr>
        <w:t>4</w:t>
      </w:r>
      <w:r>
        <w:rPr>
          <w:rFonts w:hint="default" w:ascii="Times New Roman" w:hAnsi="Times New Roman" w:eastAsia="方正仿宋_GBK" w:cs="Times New Roman"/>
          <w:b/>
          <w:bCs/>
          <w:color w:val="000000"/>
          <w:sz w:val="32"/>
          <w:szCs w:val="32"/>
          <w:highlight w:val="none"/>
          <w:lang w:val="en-US" w:eastAsia="zh-CN"/>
        </w:rPr>
        <w:t>.绿色铝</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1" w:name="_Toc8849"/>
      <w:bookmarkStart w:id="2" w:name="_Toc1916"/>
      <w:r>
        <w:rPr>
          <w:rFonts w:hint="default" w:ascii="Times New Roman" w:hAnsi="Times New Roman" w:eastAsia="方正仿宋_GBK" w:cs="Times New Roman"/>
          <w:b/>
          <w:bCs/>
          <w:color w:val="000000"/>
          <w:sz w:val="32"/>
          <w:szCs w:val="32"/>
          <w:highlight w:val="none"/>
          <w:lang w:val="en-US" w:eastAsia="zh-CN"/>
        </w:rPr>
        <w:t>方向一：铝冶金</w:t>
      </w:r>
      <w:bookmarkEnd w:id="1"/>
      <w:bookmarkEnd w:id="2"/>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绿色能源与电解铝融合、绿色低碳冶炼、“零碳铝”冶炼、复合阴极、惰性阳极、无碳阴极、废铝智能高效分选、短流程绿色熔炼、深度净化除杂、再生铝与原铝融合等技术开发及产业化应用。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开发规模化低碳绿色铝冶炼和再生利用技术，实现超低排放，技术指标达到国内领先水平</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单项解决关键核心技术≥1项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rPr>
        <w:t>实现</w:t>
      </w:r>
      <w:r>
        <w:rPr>
          <w:rFonts w:ascii="Times New Roman" w:hAnsi="Times New Roman" w:eastAsia="方正仿宋_GBK"/>
          <w:bCs/>
          <w:color w:val="000000"/>
          <w:sz w:val="32"/>
          <w:szCs w:val="32"/>
          <w:highlight w:val="none"/>
        </w:rPr>
        <w:t>产业化应用，具有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3" w:name="_Toc3465"/>
      <w:bookmarkStart w:id="4" w:name="_Toc3381"/>
      <w:r>
        <w:rPr>
          <w:rFonts w:hint="default" w:ascii="Times New Roman" w:hAnsi="Times New Roman" w:eastAsia="方正仿宋_GBK" w:cs="Times New Roman"/>
          <w:b/>
          <w:bCs/>
          <w:color w:val="000000"/>
          <w:sz w:val="32"/>
          <w:szCs w:val="32"/>
          <w:highlight w:val="none"/>
          <w:lang w:val="en-US" w:eastAsia="zh-CN"/>
        </w:rPr>
        <w:t>方向二：铝</w:t>
      </w:r>
      <w:bookmarkEnd w:id="3"/>
      <w:r>
        <w:rPr>
          <w:rFonts w:hint="default" w:ascii="Times New Roman" w:hAnsi="Times New Roman" w:eastAsia="方正仿宋_GBK" w:cs="Times New Roman"/>
          <w:b/>
          <w:bCs/>
          <w:color w:val="000000"/>
          <w:sz w:val="32"/>
          <w:szCs w:val="32"/>
          <w:highlight w:val="none"/>
          <w:lang w:val="en-US" w:eastAsia="zh-CN"/>
        </w:rPr>
        <w:t>加工</w:t>
      </w:r>
    </w:p>
    <w:bookmarkEnd w:id="4"/>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车用高性能铝合金零部件压铸挤压及轧制加工、超级电容器用新型铝基电极箔的制备加工、发动机用高强韧高导热铝合金材料开发与精密压铸成形、高能量密度动力电池铝合金液流冷板制造、航天航空航海大尺寸高性能板材制造成形、关键零部件增材制造与修复、交通用轻量化高性能铝/钢复合板制造等技术开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开发铝合金材料与制造技术，形成规模化生产，产品性能达到或优于国内先进指标，单项开发新材料或新产品≥1项，建成产品产线≥1</w:t>
      </w:r>
      <w:r>
        <w:rPr>
          <w:rFonts w:hint="eastAsia" w:ascii="Times New Roman" w:hAnsi="Times New Roman" w:eastAsia="方正仿宋_GBK"/>
          <w:bCs/>
          <w:color w:val="000000"/>
          <w:sz w:val="32"/>
          <w:szCs w:val="32"/>
          <w:highlight w:val="none"/>
          <w:lang w:eastAsia="zh-CN"/>
        </w:rPr>
        <w:t>条</w:t>
      </w:r>
      <w:r>
        <w:rPr>
          <w:rFonts w:ascii="Times New Roman" w:hAnsi="Times New Roman" w:eastAsia="方正仿宋_GBK"/>
          <w:bCs/>
          <w:color w:val="000000"/>
          <w:sz w:val="32"/>
          <w:szCs w:val="32"/>
          <w:highlight w:val="none"/>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rPr>
        <w:t>实现</w:t>
      </w:r>
      <w:r>
        <w:rPr>
          <w:rFonts w:ascii="Times New Roman" w:hAnsi="Times New Roman" w:eastAsia="方正仿宋_GBK"/>
          <w:bCs/>
          <w:color w:val="000000"/>
          <w:sz w:val="32"/>
          <w:szCs w:val="32"/>
          <w:highlight w:val="none"/>
        </w:rPr>
        <w:t>产业化应用，具有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5项，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5" w:name="_Toc17028"/>
      <w:r>
        <w:rPr>
          <w:rFonts w:hint="eastAsia" w:ascii="Times New Roman" w:hAnsi="Times New Roman" w:eastAsia="方正仿宋_GBK" w:cs="Times New Roman"/>
          <w:b/>
          <w:bCs/>
          <w:color w:val="000000"/>
          <w:sz w:val="32"/>
          <w:szCs w:val="32"/>
          <w:highlight w:val="none"/>
          <w:lang w:val="en-US" w:eastAsia="zh-CN"/>
        </w:rPr>
        <w:t>5</w:t>
      </w:r>
      <w:r>
        <w:rPr>
          <w:rFonts w:hint="default" w:ascii="Times New Roman" w:hAnsi="Times New Roman" w:eastAsia="方正仿宋_GBK" w:cs="Times New Roman"/>
          <w:b/>
          <w:bCs/>
          <w:color w:val="000000"/>
          <w:sz w:val="32"/>
          <w:szCs w:val="32"/>
          <w:highlight w:val="none"/>
          <w:lang w:val="en-US" w:eastAsia="zh-CN"/>
        </w:rPr>
        <w:t>.硅光伏</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高品质硅材料绿色低碳生产及成套装备技术、高效光伏电池技术、光伏固废资源回收与高值循环利用。重点包括：高性能钙钛矿基叠层器件制备关键成套技术、超薄硅片切割关键技术及装备、新型掺杂高品质单晶硅棒高效生产关键技术及智能化装备、超高纯多晶硅量产关键技术、高效BC电池及N型电池、组件制备技术、‌建筑光伏一体化BIPV、光热一体化PVT技术、光伏固废绿色处理及资源再生技术和大数据AI模型智能制造技术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color w:val="000000"/>
          <w:sz w:val="32"/>
          <w:szCs w:val="32"/>
          <w:highlight w:val="none"/>
        </w:rPr>
        <w:t>关键技术指标达到或优于行业先进水平，建成示范生产线，</w:t>
      </w:r>
      <w:r>
        <w:rPr>
          <w:rFonts w:hint="eastAsia" w:ascii="Times New Roman" w:hAnsi="Times New Roman" w:eastAsia="方正仿宋_GBK"/>
          <w:color w:val="000000"/>
          <w:sz w:val="32"/>
          <w:szCs w:val="32"/>
          <w:highlight w:val="none"/>
          <w:lang w:val="en-US" w:eastAsia="zh-CN"/>
        </w:rPr>
        <w:t>实现</w:t>
      </w:r>
      <w:r>
        <w:rPr>
          <w:rFonts w:ascii="Times New Roman" w:hAnsi="Times New Roman" w:eastAsia="方正仿宋_GBK"/>
          <w:color w:val="000000"/>
          <w:sz w:val="32"/>
          <w:szCs w:val="32"/>
          <w:highlight w:val="none"/>
        </w:rPr>
        <w:t>工程化示范应用，形成一批知识产权，</w:t>
      </w:r>
      <w:r>
        <w:rPr>
          <w:rFonts w:hint="eastAsia" w:ascii="Times New Roman" w:hAnsi="Times New Roman" w:eastAsia="方正仿宋_GBK"/>
          <w:color w:val="000000"/>
          <w:sz w:val="32"/>
          <w:szCs w:val="32"/>
          <w:highlight w:val="none"/>
          <w:lang w:val="en-US" w:eastAsia="zh-CN"/>
        </w:rPr>
        <w:t>具有</w:t>
      </w:r>
      <w:r>
        <w:rPr>
          <w:rFonts w:ascii="Times New Roman" w:hAnsi="Times New Roman" w:eastAsia="方正仿宋_GBK"/>
          <w:color w:val="000000"/>
          <w:sz w:val="32"/>
          <w:szCs w:val="32"/>
          <w:highlight w:val="none"/>
        </w:rPr>
        <w:t>良好的经济社会效益。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5项，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bookmarkEnd w:id="5"/>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eastAsia" w:ascii="Times New Roman" w:hAnsi="Times New Roman" w:eastAsia="方正仿宋_GBK" w:cs="Times New Roman"/>
          <w:b/>
          <w:bCs/>
          <w:color w:val="000000"/>
          <w:sz w:val="32"/>
          <w:szCs w:val="32"/>
          <w:highlight w:val="none"/>
          <w:lang w:val="en-US" w:eastAsia="zh-CN"/>
        </w:rPr>
        <w:t>6</w:t>
      </w:r>
      <w:r>
        <w:rPr>
          <w:rFonts w:hint="default" w:ascii="Times New Roman" w:hAnsi="Times New Roman" w:eastAsia="方正仿宋_GBK" w:cs="Times New Roman"/>
          <w:b/>
          <w:bCs/>
          <w:color w:val="000000"/>
          <w:sz w:val="32"/>
          <w:szCs w:val="32"/>
          <w:highlight w:val="none"/>
          <w:lang w:val="en-US" w:eastAsia="zh-CN"/>
        </w:rPr>
        <w:t>.磷资源高效高值利用</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方向一：磷矿绿色高效开采</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研发集矿山数字化管控、智能开采装备等为一体的复杂地质条件下磷矿采选技术；</w:t>
      </w:r>
      <w:r>
        <w:rPr>
          <w:rFonts w:ascii="Times New Roman" w:hAnsi="Times New Roman" w:eastAsia="方正仿宋_GBK"/>
          <w:color w:val="000000"/>
          <w:sz w:val="32"/>
          <w:szCs w:val="32"/>
          <w:highlight w:val="none"/>
        </w:rPr>
        <w:t>基于“矿化一体”“利废护境”理念的磷矿高效连续充填采矿方法与工艺参数优化</w:t>
      </w:r>
      <w:r>
        <w:rPr>
          <w:rFonts w:ascii="Times New Roman" w:hAnsi="Times New Roman" w:eastAsia="方正仿宋_GBK"/>
          <w:bCs/>
          <w:color w:val="000000"/>
          <w:sz w:val="32"/>
          <w:szCs w:val="32"/>
          <w:highlight w:val="none"/>
        </w:rPr>
        <w:t>；提高精矿的质量和产量，有效提升矿石资源的利用效率，研发中低品位磷矿浮选富集技术；</w:t>
      </w:r>
      <w:r>
        <w:rPr>
          <w:rFonts w:ascii="Times New Roman" w:hAnsi="Times New Roman" w:eastAsia="方正仿宋_GBK"/>
          <w:color w:val="000000"/>
          <w:sz w:val="32"/>
          <w:szCs w:val="32"/>
          <w:highlight w:val="none"/>
        </w:rPr>
        <w:t>构建浮选磷尾矿多元素精深分离技术体系；</w:t>
      </w:r>
      <w:r>
        <w:rPr>
          <w:rFonts w:ascii="Times New Roman" w:hAnsi="Times New Roman" w:eastAsia="方正仿宋_GBK"/>
          <w:bCs/>
          <w:color w:val="000000"/>
          <w:sz w:val="32"/>
          <w:szCs w:val="32"/>
          <w:highlight w:val="none"/>
        </w:rPr>
        <w:t>创新二氧化硅、倍半氧化物、碳酸盐分离技术；开发运用高效低成本粉矿成球生产黄磷技术；推进磷矿安全开采与综合利用技术迭代；优化提升磷矿共（伴）生资源高效回收技术。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color w:val="000000"/>
          <w:sz w:val="32"/>
          <w:szCs w:val="32"/>
          <w:highlight w:val="none"/>
        </w:rPr>
        <w:t>关键核心技术与指标处于国内领先水平</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bCs/>
          <w:color w:val="000000"/>
          <w:sz w:val="32"/>
          <w:szCs w:val="32"/>
          <w:highlight w:val="none"/>
        </w:rPr>
        <w:t>单项解决关键核心技术≥1项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rPr>
        <w:t>实现</w:t>
      </w:r>
      <w:r>
        <w:rPr>
          <w:rFonts w:ascii="Times New Roman" w:hAnsi="Times New Roman" w:eastAsia="方正仿宋_GBK"/>
          <w:bCs/>
          <w:color w:val="000000"/>
          <w:sz w:val="32"/>
          <w:szCs w:val="32"/>
          <w:highlight w:val="none"/>
        </w:rPr>
        <w:t>产业化应用，具有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方向二：磷高值化产品开发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开发高纯磷、电子级磷酸、高纯磷化物、磷系电池材料、磷碳负极材料等重点新产品；开发含磷阻燃剂、黑磷基新材料、增塑剂、表面活性剂、净水剂等产品；</w:t>
      </w:r>
      <w:r>
        <w:rPr>
          <w:rFonts w:ascii="Times New Roman" w:hAnsi="Times New Roman" w:eastAsia="方正仿宋_GBK"/>
          <w:bCs/>
          <w:color w:val="000000"/>
          <w:sz w:val="32"/>
          <w:szCs w:val="32"/>
          <w:highlight w:val="none"/>
        </w:rPr>
        <w:t>利用磷矿副产氟硅酸开发含氟、硅新材料，</w:t>
      </w:r>
      <w:r>
        <w:rPr>
          <w:rFonts w:ascii="Times New Roman" w:hAnsi="Times New Roman" w:eastAsia="方正仿宋_GBK"/>
          <w:color w:val="000000"/>
          <w:sz w:val="32"/>
          <w:szCs w:val="32"/>
          <w:highlight w:val="none"/>
        </w:rPr>
        <w:t>研发氟硅酸法制备四氟化硅、氟化钙、无水氟化氢联产高性能白炭黑生产工艺；发展高纯氢氟酸、表面活性剂、制冷剂、氟涂料等含氟新材料；开发食品级、医药级等高附加值功能性磷酸盐产品；开发运用提质增效的新型磷肥生产技术</w:t>
      </w:r>
      <w:r>
        <w:rPr>
          <w:rFonts w:ascii="Times New Roman" w:hAnsi="Times New Roman" w:eastAsia="方正仿宋_GBK"/>
          <w:bCs/>
          <w:color w:val="000000"/>
          <w:sz w:val="32"/>
          <w:szCs w:val="32"/>
          <w:highlight w:val="none"/>
        </w:rPr>
        <w:t>；突破湿法磷酸低成本、低能耗净化技术；开发运用黄磷尾气生产高附加值化学品生产技术。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产品与技术指标达到或优于国内先进指标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单项开发新材料或新产品1-3种</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rPr>
        <w:t>实现</w:t>
      </w:r>
      <w:r>
        <w:rPr>
          <w:rFonts w:ascii="Times New Roman" w:hAnsi="Times New Roman" w:eastAsia="方正仿宋_GBK"/>
          <w:bCs/>
          <w:color w:val="000000"/>
          <w:sz w:val="32"/>
          <w:szCs w:val="32"/>
          <w:highlight w:val="none"/>
        </w:rPr>
        <w:t>产业化应用，具有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w:t>
      </w:r>
      <w:r>
        <w:rPr>
          <w:rFonts w:ascii="Times New Roman" w:hAnsi="Times New Roman" w:eastAsia="方正仿宋_GBK"/>
          <w:bCs/>
          <w:color w:val="000000"/>
          <w:sz w:val="32"/>
          <w:szCs w:val="32"/>
          <w:highlight w:val="none"/>
        </w:rPr>
        <w:t>资助经费</w:t>
      </w:r>
      <w:r>
        <w:rPr>
          <w:rFonts w:ascii="Times New Roman" w:hAnsi="Times New Roman" w:eastAsia="方正仿宋_GBK"/>
          <w:color w:val="000000"/>
          <w:sz w:val="32"/>
          <w:szCs w:val="32"/>
          <w:highlight w:val="none"/>
        </w:rPr>
        <w:t>原则上</w:t>
      </w:r>
      <w:r>
        <w:rPr>
          <w:rFonts w:ascii="Times New Roman" w:hAnsi="Times New Roman" w:eastAsia="方正仿宋_GBK"/>
          <w:bCs/>
          <w:color w:val="000000"/>
          <w:sz w:val="32"/>
          <w:szCs w:val="32"/>
          <w:highlight w:val="none"/>
        </w:rPr>
        <w:t>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w:t>
      </w:r>
      <w:r>
        <w:rPr>
          <w:rFonts w:ascii="Times New Roman" w:hAnsi="Times New Roman" w:eastAsia="方正仿宋_GBK"/>
          <w:bCs/>
          <w:color w:val="000000"/>
          <w:sz w:val="32"/>
          <w:szCs w:val="32"/>
          <w:highlight w:val="none"/>
        </w:rPr>
        <w:t>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方向三：磷资源绿色化开发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支持AI赋能磷化工生产控制，实现基础磷化工工艺控制的在线优化；支持</w:t>
      </w:r>
      <w:r>
        <w:rPr>
          <w:rFonts w:ascii="Times New Roman" w:hAnsi="Times New Roman" w:eastAsia="方正仿宋_GBK"/>
          <w:color w:val="000000"/>
          <w:sz w:val="32"/>
          <w:szCs w:val="32"/>
          <w:highlight w:val="none"/>
        </w:rPr>
        <w:t>湿法磷酸节能与提高磷收率技术；开发湿法磷酸伴生资源氟的高效低成本回收技术；开发磷煤联产节能技术；开发</w:t>
      </w:r>
      <w:r>
        <w:rPr>
          <w:rFonts w:ascii="Times New Roman" w:hAnsi="Times New Roman" w:eastAsia="方正仿宋_GBK"/>
          <w:bCs/>
          <w:color w:val="000000"/>
          <w:sz w:val="32"/>
          <w:szCs w:val="32"/>
          <w:highlight w:val="none"/>
        </w:rPr>
        <w:t>提高黄磷一次磷收率技术；开发黄磷炉气干法除尘、黄磷尾气副产高压过热蒸汽的流化床热能利用技术；开发泥磷连续化回收、高温磷炉渣热能、磷渣、磷铁综合利用技术。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项目关键技术指标达到或优于国内先进值</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单项解决关键核心技术≥</w:t>
      </w:r>
      <w:r>
        <w:rPr>
          <w:rFonts w:ascii="Times New Roman" w:hAnsi="Times New Roman" w:eastAsia="方正仿宋_GBK"/>
          <w:color w:val="000000"/>
          <w:sz w:val="32"/>
          <w:szCs w:val="32"/>
          <w:highlight w:val="none"/>
        </w:rPr>
        <w:t>1项</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bCs/>
          <w:color w:val="000000"/>
          <w:sz w:val="32"/>
          <w:szCs w:val="32"/>
          <w:highlight w:val="none"/>
        </w:rPr>
        <w:t>建成工业示范装置或示范生产线≥</w:t>
      </w:r>
      <w:r>
        <w:rPr>
          <w:rFonts w:ascii="Times New Roman" w:hAnsi="Times New Roman" w:eastAsia="方正仿宋_GBK"/>
          <w:color w:val="000000"/>
          <w:sz w:val="32"/>
          <w:szCs w:val="32"/>
          <w:highlight w:val="none"/>
        </w:rPr>
        <w:t>1处</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rPr>
        <w:t>实现</w:t>
      </w:r>
      <w:r>
        <w:rPr>
          <w:rFonts w:ascii="Times New Roman" w:hAnsi="Times New Roman" w:eastAsia="方正仿宋_GBK"/>
          <w:bCs/>
          <w:color w:val="000000"/>
          <w:sz w:val="32"/>
          <w:szCs w:val="32"/>
          <w:highlight w:val="none"/>
        </w:rPr>
        <w:t>产业化应用，具有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6" w:name="_Toc24835"/>
      <w:r>
        <w:rPr>
          <w:rFonts w:hint="default" w:ascii="Times New Roman" w:hAnsi="Times New Roman" w:eastAsia="方正仿宋_GBK" w:cs="Times New Roman"/>
          <w:b/>
          <w:bCs/>
          <w:color w:val="000000"/>
          <w:sz w:val="32"/>
          <w:szCs w:val="32"/>
          <w:highlight w:val="none"/>
          <w:lang w:val="en-US" w:eastAsia="zh-CN"/>
        </w:rPr>
        <w:t>7.绿色能源</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方向一：省域电力系统源网荷储规划与协调运行控制关键技术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kern w:val="0"/>
          <w:sz w:val="32"/>
          <w:szCs w:val="32"/>
          <w:highlight w:val="none"/>
          <w:lang w:bidi="zh-CN"/>
        </w:rPr>
        <w:t>面向省域高比例清洁能源大规模接入场景，开展电源</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电网</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负荷</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储能一体化规划与多时间尺度协调运行控制技术研究。研究源网荷储协同规划及多能互补优化配置技术、省域异步电网安全高效运行的储能参与系统调节及市场机制、高比例新能源出力特征</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环境演变与电力系统协同融合技术、公路物流运输</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绿色能源供能系统与弹性运行等关键技术研发及应用、大规模新能源接入省域电力系统的安全稳定风险防控技术、电网柔性调控</w:t>
      </w:r>
      <w:r>
        <w:rPr>
          <w:rFonts w:hint="eastAsia" w:ascii="Times New Roman" w:hAnsi="Times New Roman" w:eastAsia="方正仿宋_GBK"/>
          <w:color w:val="000000"/>
          <w:kern w:val="0"/>
          <w:sz w:val="32"/>
          <w:szCs w:val="32"/>
          <w:highlight w:val="none"/>
          <w:lang w:bidi="zh-CN"/>
        </w:rPr>
        <w:t>—</w:t>
      </w:r>
      <w:r>
        <w:rPr>
          <w:rFonts w:ascii="Times New Roman" w:hAnsi="Times New Roman" w:eastAsia="方正仿宋_GBK"/>
          <w:color w:val="000000"/>
          <w:kern w:val="0"/>
          <w:sz w:val="32"/>
          <w:szCs w:val="32"/>
          <w:highlight w:val="none"/>
          <w:lang w:bidi="zh-CN"/>
        </w:rPr>
        <w:t>仿真分析技术及测试验证系统研发、新型电力系统水电机组调相运行技术、适应高比例新能源运行的智慧通信体系、数字孪生驱动</w:t>
      </w:r>
      <w:r>
        <w:rPr>
          <w:rFonts w:ascii="Times New Roman" w:hAnsi="Times New Roman" w:eastAsia="方正仿宋_GBK"/>
          <w:color w:val="000000"/>
          <w:w w:val="98"/>
          <w:kern w:val="0"/>
          <w:sz w:val="32"/>
          <w:szCs w:val="32"/>
          <w:highlight w:val="none"/>
          <w:lang w:bidi="zh-CN"/>
        </w:rPr>
        <w:t>的新型配电系统安全域分析与风险推演技术研发、新型负荷管理技术研究与应用等。支持开展适应高比例新能源的省域运行控制方法与技术平台应用研究，推动调节资源跨区域共享</w:t>
      </w:r>
      <w:r>
        <w:rPr>
          <w:rFonts w:ascii="Times New Roman" w:hAnsi="Times New Roman" w:eastAsia="方正仿宋_GBK"/>
          <w:color w:val="000000"/>
          <w:kern w:val="0"/>
          <w:sz w:val="32"/>
          <w:szCs w:val="32"/>
          <w:highlight w:val="none"/>
          <w:lang w:bidi="zh-CN"/>
        </w:rPr>
        <w:t>。</w:t>
      </w:r>
      <w:r>
        <w:rPr>
          <w:rFonts w:hint="eastAsia" w:ascii="Times New Roman" w:hAnsi="Times New Roman" w:eastAsia="方正仿宋_GBK"/>
          <w:color w:val="000000"/>
          <w:kern w:val="0"/>
          <w:sz w:val="32"/>
          <w:szCs w:val="32"/>
          <w:highlight w:val="none"/>
          <w:lang w:bidi="zh-CN"/>
        </w:rPr>
        <w:t>同时积极探索开发地热能综合开发及利用关键技术等清洁能源多场景技术创新应用。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lang w:bidi="zh-CN"/>
        </w:rPr>
        <w:t>实现典型区域示范应用，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方向二：新能源电—算力协同关键技术研究与应用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含新能源的算力中心可靠供电体系研究与应用、多类型计算任务下的算力负荷特性分析及建模、计及碳交易的电</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color w:val="000000"/>
          <w:sz w:val="32"/>
          <w:szCs w:val="32"/>
          <w:highlight w:val="none"/>
        </w:rPr>
        <w:t>算协同综合成本模型及建模方法、适应市场机制的电</w:t>
      </w:r>
      <w:r>
        <w:rPr>
          <w:rFonts w:hint="eastAsia" w:ascii="Times New Roman" w:hAnsi="Times New Roman" w:eastAsia="方正仿宋_GBK"/>
          <w:color w:val="000000"/>
          <w:sz w:val="32"/>
          <w:szCs w:val="32"/>
          <w:highlight w:val="none"/>
          <w:lang w:eastAsia="zh-CN"/>
        </w:rPr>
        <w:t>—</w:t>
      </w:r>
      <w:r>
        <w:rPr>
          <w:rFonts w:ascii="Times New Roman" w:hAnsi="Times New Roman" w:eastAsia="方正仿宋_GBK"/>
          <w:color w:val="000000"/>
          <w:sz w:val="32"/>
          <w:szCs w:val="32"/>
          <w:highlight w:val="none"/>
        </w:rPr>
        <w:t>算协同控制策略研究及应用。</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olor w:val="000000"/>
          <w:kern w:val="0"/>
          <w:sz w:val="32"/>
          <w:szCs w:val="32"/>
          <w:highlight w:val="none"/>
          <w:lang w:bidi="zh-CN"/>
        </w:rPr>
        <w:t>实现典型区域示范应用，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方向三：新能源电池材料关键技术研发及应用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磷系锂离子电池、钠离子电池、固态电池、水系锌离子电池等关键技术研究，正/负极材料、隔膜、电解液、固态电解质、预锂化技术、新型导电剂、新型分散</w:t>
      </w:r>
      <w:r>
        <w:rPr>
          <w:rFonts w:ascii="Times New Roman" w:hAnsi="Times New Roman" w:eastAsia="方正仿宋_GBK"/>
          <w:color w:val="000000"/>
          <w:w w:val="98"/>
          <w:sz w:val="32"/>
          <w:szCs w:val="32"/>
          <w:highlight w:val="none"/>
        </w:rPr>
        <w:t>剂、导离子添加剂等关键技术研究，宽温域锂钠互补储能核心技术研究，磷资源及废旧锂电池高值循环再生关键技术研究</w:t>
      </w:r>
      <w:r>
        <w:rPr>
          <w:rFonts w:ascii="Times New Roman" w:hAnsi="Times New Roman" w:eastAsia="方正仿宋_GBK"/>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color w:val="000000"/>
          <w:kern w:val="0"/>
          <w:sz w:val="32"/>
          <w:szCs w:val="32"/>
          <w:highlight w:val="none"/>
          <w:lang w:bidi="zh-CN"/>
        </w:rPr>
        <w:t>，</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6项，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bookmarkEnd w:id="6"/>
    <w:p>
      <w:pPr>
        <w:keepNext w:val="0"/>
        <w:keepLines w:val="0"/>
        <w:pageBreakBefore w:val="0"/>
        <w:kinsoku/>
        <w:wordWrap/>
        <w:overflowPunct/>
        <w:autoSpaceDN/>
        <w:bidi w:val="0"/>
        <w:spacing w:line="560" w:lineRule="exact"/>
        <w:ind w:firstLine="64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（二）战略性新兴产业</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8.新材料</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7" w:name="_Toc5891"/>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一</w:t>
      </w:r>
      <w:r>
        <w:rPr>
          <w:rFonts w:hint="default" w:ascii="Times New Roman" w:hAnsi="Times New Roman" w:eastAsia="方正仿宋_GBK" w:cs="Times New Roman"/>
          <w:b/>
          <w:bCs/>
          <w:color w:val="000000"/>
          <w:sz w:val="32"/>
          <w:szCs w:val="32"/>
          <w:highlight w:val="none"/>
          <w:lang w:val="en-US" w:eastAsia="zh-CN"/>
        </w:rPr>
        <w:t>：锡铟材料</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电子信息、新能源、化工催化剂等领域用高端低辐射锡、锡膏、锡丝、锡片、BGA锡球、ITO靶材、磷化铟、氧化铟、三甲基铟、高纯铟（7N以上）、锑化铟、有机锡、无机锡、电子胶、助焊剂及清洗剂制备等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二</w:t>
      </w:r>
      <w:r>
        <w:rPr>
          <w:rFonts w:hint="default" w:ascii="Times New Roman" w:hAnsi="Times New Roman" w:eastAsia="方正仿宋_GBK" w:cs="Times New Roman"/>
          <w:b/>
          <w:bCs/>
          <w:color w:val="000000"/>
          <w:sz w:val="32"/>
          <w:szCs w:val="32"/>
          <w:highlight w:val="none"/>
          <w:lang w:val="en-US" w:eastAsia="zh-CN"/>
        </w:rPr>
        <w:t>：锗材料</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半导体、新能源、电子信息等领域用超高纯锗锭、锗单晶、红外光学镜头用锗、空间太阳能锗电池片、光纤用四氯化锗、光电子/微电子用氯化锗等产品制造关键技术。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三</w:t>
      </w:r>
      <w:r>
        <w:rPr>
          <w:rFonts w:hint="default" w:ascii="Times New Roman" w:hAnsi="Times New Roman" w:eastAsia="方正仿宋_GBK" w:cs="Times New Roman"/>
          <w:b/>
          <w:bCs/>
          <w:color w:val="000000"/>
          <w:sz w:val="32"/>
          <w:szCs w:val="32"/>
          <w:highlight w:val="none"/>
          <w:lang w:val="en-US" w:eastAsia="zh-CN"/>
        </w:rPr>
        <w:t>：化工新材料研发及应用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w w:val="98"/>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支持化工新材料及专用化学品的技术升级与工程化应用。高端聚烯烃及特殊用途专用聚烯烃、合成树脂与工程塑料、聚氨酯、高性能纤维与膜材料、高端染颜料等关键产品开发。特种涂料、特种胶黏剂、专用助剂及油剂等化工新材料的绿色制备与性能提升关键技术；</w:t>
      </w:r>
      <w:r>
        <w:rPr>
          <w:rFonts w:ascii="Times New Roman" w:hAnsi="Times New Roman" w:eastAsia="方正仿宋_GBK"/>
          <w:bCs/>
          <w:color w:val="000000"/>
          <w:sz w:val="32"/>
          <w:szCs w:val="32"/>
          <w:highlight w:val="none"/>
        </w:rPr>
        <w:t>电子化学</w:t>
      </w:r>
      <w:r>
        <w:rPr>
          <w:rFonts w:ascii="Times New Roman" w:hAnsi="Times New Roman" w:eastAsia="方正仿宋_GBK"/>
          <w:bCs/>
          <w:color w:val="000000"/>
          <w:w w:val="98"/>
          <w:sz w:val="32"/>
          <w:szCs w:val="32"/>
          <w:highlight w:val="none"/>
        </w:rPr>
        <w:t>品、特种硅油、氟硅工程塑料、特种包装材料、高端试剂等新型化工材料的研发与应用。化工新材料连续化、低能耗、低排放制备工艺及产业化技术。碳捕集利用与封存（CCUS）技术。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bookmarkEnd w:id="7"/>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四</w:t>
      </w:r>
      <w:r>
        <w:rPr>
          <w:rFonts w:hint="default" w:ascii="Times New Roman" w:hAnsi="Times New Roman" w:eastAsia="方正仿宋_GBK" w:cs="Times New Roman"/>
          <w:b/>
          <w:bCs/>
          <w:color w:val="000000"/>
          <w:sz w:val="32"/>
          <w:szCs w:val="32"/>
          <w:highlight w:val="none"/>
          <w:lang w:val="en-US" w:eastAsia="zh-CN"/>
        </w:rPr>
        <w:t>：战略性前沿材料研发与应用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支持战略性前沿新材料及相关制备技术研发。医用可降解金属材料、医用钴铬合金材料及相关器械应用技术；液态金属功能材料及散热材料制备与应用；特种高性能材料及器件的增材制造技术；超高温热防护涂层、阻燃涂层、先进纳米涂层及功能涂层关键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五</w:t>
      </w:r>
      <w:r>
        <w:rPr>
          <w:rFonts w:hint="default" w:ascii="Times New Roman" w:hAnsi="Times New Roman" w:eastAsia="方正仿宋_GBK" w:cs="Times New Roman"/>
          <w:b/>
          <w:bCs/>
          <w:color w:val="000000"/>
          <w:sz w:val="32"/>
          <w:szCs w:val="32"/>
          <w:highlight w:val="none"/>
          <w:lang w:val="en-US" w:eastAsia="zh-CN"/>
        </w:rPr>
        <w:t>：先进催化材料研发与应用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石油、煤炭等</w:t>
      </w:r>
      <w:r>
        <w:rPr>
          <w:rFonts w:ascii="Times New Roman" w:hAnsi="Times New Roman" w:eastAsia="方正仿宋_GBK"/>
          <w:color w:val="000000"/>
          <w:kern w:val="0"/>
          <w:sz w:val="32"/>
          <w:szCs w:val="32"/>
          <w:highlight w:val="none"/>
          <w:lang w:bidi="zh-CN"/>
        </w:rPr>
        <w:t>化石资源绿色高效利用催化剂产业化关键技术；新型高效CO₂转化及环境污染物治理的催化材料规模化制备及工程化应用技术；人工智能辅助非贵金属催化剂组成、结构及工艺参数的智能设计、优化与工程制备技术；工业工况下催化剂失活机理解析及高效再生回收关键技术等。</w:t>
      </w:r>
    </w:p>
    <w:p>
      <w:pPr>
        <w:keepNext w:val="0"/>
        <w:keepLines w:val="0"/>
        <w:pageBreakBefore w:val="0"/>
        <w:kinsoku/>
        <w:wordWrap/>
        <w:overflowPunct/>
        <w:topLine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lang w:val="en-US" w:eastAsia="zh-CN"/>
        </w:rPr>
        <w:t>4</w:t>
      </w:r>
      <w:r>
        <w:rPr>
          <w:rFonts w:hint="eastAsia" w:ascii="Times New Roman" w:hAnsi="Times New Roman" w:eastAsia="方正仿宋_GBK"/>
          <w:color w:val="000000"/>
          <w:sz w:val="32"/>
          <w:szCs w:val="32"/>
          <w:highlight w:val="none"/>
        </w:rPr>
        <w:t>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bookmarkStart w:id="8" w:name="OLE_LINK5"/>
      <w:bookmarkStart w:id="9" w:name="OLE_LINK4"/>
      <w:bookmarkStart w:id="10" w:name="_Toc2718"/>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六</w:t>
      </w:r>
      <w:r>
        <w:rPr>
          <w:rFonts w:hint="default" w:ascii="Times New Roman" w:hAnsi="Times New Roman" w:eastAsia="方正仿宋_GBK" w:cs="Times New Roman"/>
          <w:b/>
          <w:bCs/>
          <w:color w:val="000000"/>
          <w:sz w:val="32"/>
          <w:szCs w:val="32"/>
          <w:highlight w:val="none"/>
          <w:lang w:val="en-US" w:eastAsia="zh-CN"/>
        </w:rPr>
        <w:t>：稀贵金属功能材料</w:t>
      </w:r>
      <w:bookmarkEnd w:id="8"/>
      <w:bookmarkEnd w:id="9"/>
      <w:r>
        <w:rPr>
          <w:rFonts w:hint="default" w:ascii="Times New Roman" w:hAnsi="Times New Roman" w:eastAsia="方正仿宋_GBK" w:cs="Times New Roman"/>
          <w:b/>
          <w:bCs/>
          <w:color w:val="000000"/>
          <w:sz w:val="32"/>
          <w:szCs w:val="32"/>
          <w:highlight w:val="none"/>
          <w:lang w:val="en-US" w:eastAsia="zh-CN"/>
        </w:rPr>
        <w:t>开发与应用</w:t>
      </w:r>
      <w:bookmarkEnd w:id="10"/>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z w:val="32"/>
          <w:szCs w:val="32"/>
          <w:highlight w:val="none"/>
        </w:rPr>
        <w:t>电子封装用纳米银浆、浆料用金粉及银粉、高强高韧铂合金、低成本高性能铂基热电偶、高性能贵金属耐高温材料、贵金属特种粉体材料及增材制造、航空航天用高可靠贵金属合金材料、高纯稀贵金属高效制备、靶材制备等关键技术开发及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实现产业化示范应用，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z w:val="32"/>
          <w:szCs w:val="32"/>
          <w:highlight w:val="none"/>
        </w:rPr>
        <w:t>。</w:t>
      </w:r>
    </w:p>
    <w:p>
      <w:pPr>
        <w:pStyle w:val="7"/>
        <w:keepNext w:val="0"/>
        <w:keepLines w:val="0"/>
        <w:pageBreakBefore w:val="0"/>
        <w:kinsoku/>
        <w:wordWrap/>
        <w:overflowPunct/>
        <w:autoSpaceDN/>
        <w:bidi w:val="0"/>
        <w:spacing w:after="0" w:line="560" w:lineRule="exact"/>
        <w:ind w:left="0" w:leftChars="0" w:firstLine="640"/>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9.先进装备制造</w:t>
      </w:r>
    </w:p>
    <w:p>
      <w:pPr>
        <w:pStyle w:val="10"/>
        <w:keepNext w:val="0"/>
        <w:keepLines w:val="0"/>
        <w:pageBreakBefore w:val="0"/>
        <w:kinsoku/>
        <w:wordWrap/>
        <w:overflowPunct/>
        <w:autoSpaceDN/>
        <w:bidi w:val="0"/>
        <w:spacing w:line="560" w:lineRule="exact"/>
        <w:ind w:firstLine="640"/>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方向一：高端数控机床</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bookmarkStart w:id="11" w:name="_Toc30170"/>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围绕高效率、超精密、高一致性智能化加工需求，研发工业母机+AI、机床大件基础件先进铸造、高端机床国产数控系统多轴联动适配、薄壁零件高效加工、主轴精度补偿、机床整机与功能部件可靠性及精度保持、机床整机中试验证等关键技术；研制高精度及五坐标镗铣加工中心、光学超精密加工机床、水下产品薄壁壳体加工中心、增减材复合加工专用机床、超精密车磨复合加工机床、高端数控机床功能部件、整机及生产线；基于AI的国产化数控机床智能操作系统、边缘智能单元，装备全生命周期智能机床数字孪生技术及生产示范线建设。</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w:t>
      </w:r>
      <w:r>
        <w:rPr>
          <w:rFonts w:ascii="Times New Roman"/>
          <w:color w:val="000000"/>
          <w:szCs w:val="32"/>
          <w:highlight w:val="none"/>
        </w:rPr>
        <w:t>批知识产权</w:t>
      </w:r>
      <w:r>
        <w:rPr>
          <w:rFonts w:ascii="Times New Roman"/>
          <w:bCs/>
          <w:color w:val="000000"/>
          <w:szCs w:val="32"/>
          <w:highlight w:val="none"/>
        </w:rPr>
        <w:t>，实现技术自主可控、满足产业重大需求，形成行业领先的新产品；研制功能部件实现批量配套装配，样机主要技术指标经国家第三方授权机构检测</w:t>
      </w:r>
      <w:r>
        <w:rPr>
          <w:rFonts w:hint="eastAsia" w:ascii="Times New Roman"/>
          <w:bCs/>
          <w:color w:val="000000"/>
          <w:szCs w:val="32"/>
          <w:highlight w:val="none"/>
        </w:rPr>
        <w:t>，</w:t>
      </w:r>
      <w:r>
        <w:rPr>
          <w:rFonts w:ascii="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color w:val="000000"/>
          <w:szCs w:val="32"/>
          <w:highlight w:val="none"/>
        </w:rPr>
        <w:t>3</w:t>
      </w:r>
      <w:r>
        <w:rPr>
          <w:rFonts w:ascii="Times New Roman" w:cs="Times New Roman"/>
          <w:color w:val="000000"/>
          <w:szCs w:val="32"/>
          <w:highlight w:val="none"/>
        </w:rPr>
        <w:t>项，单个</w:t>
      </w:r>
      <w:r>
        <w:rPr>
          <w:rFonts w:ascii="Times New Roman"/>
          <w:color w:val="000000"/>
          <w:szCs w:val="32"/>
          <w:highlight w:val="none"/>
        </w:rPr>
        <w:t>项目资助经费原则上不超过</w:t>
      </w:r>
      <w:r>
        <w:rPr>
          <w:rFonts w:hint="eastAsia" w:ascii="Times New Roman"/>
          <w:color w:val="000000"/>
          <w:szCs w:val="32"/>
          <w:highlight w:val="none"/>
          <w:lang w:val="en-US" w:eastAsia="zh-CN"/>
        </w:rPr>
        <w:t>6</w:t>
      </w:r>
      <w:r>
        <w:rPr>
          <w:rFonts w:ascii="Times New Roman"/>
          <w:color w:val="000000"/>
          <w:szCs w:val="32"/>
          <w:highlight w:val="none"/>
        </w:rPr>
        <w:t>00万元</w:t>
      </w:r>
      <w:r>
        <w:rPr>
          <w:rFonts w:ascii="Times New Roman"/>
          <w:bCs/>
          <w:color w:val="000000"/>
          <w:szCs w:val="32"/>
          <w:highlight w:val="none"/>
        </w:rPr>
        <w:t>。</w:t>
      </w:r>
    </w:p>
    <w:p>
      <w:pPr>
        <w:pStyle w:val="11"/>
        <w:keepNext w:val="0"/>
        <w:keepLines w:val="0"/>
        <w:pageBreakBefore w:val="0"/>
        <w:kinsoku/>
        <w:wordWrap/>
        <w:overflowPunct/>
        <w:autoSpaceDN/>
        <w:bidi w:val="0"/>
        <w:spacing w:line="560" w:lineRule="exact"/>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方向二：电力装备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重点围绕适应绿色能源强省和区域国际能源枢纽建设需求，研发面向恶劣环境的高海拔超高压柔性直流输电换流阀、交直流断路器等关键技术和装备；研发适配高原地区超高压换流站的巡检、操作、维护等智能机器人、满足超高压输</w:t>
      </w:r>
      <w:r>
        <w:rPr>
          <w:rFonts w:hint="eastAsia" w:ascii="Times New Roman"/>
          <w:bCs/>
          <w:color w:val="000000"/>
          <w:szCs w:val="32"/>
          <w:highlight w:val="none"/>
          <w:lang w:val="en-US" w:eastAsia="zh-CN"/>
        </w:rPr>
        <w:t>电</w:t>
      </w:r>
      <w:r>
        <w:rPr>
          <w:rFonts w:ascii="Times New Roman"/>
          <w:bCs/>
          <w:color w:val="000000"/>
          <w:szCs w:val="32"/>
          <w:highlight w:val="none"/>
        </w:rPr>
        <w:t>线路精准高效协同作业的智能无人机装备、超高压电力变压器关键技术和批量制造技术体系、气体绝缘金属封闭开关设备气箱、适应高原环境的光伏组件高效缺陷检测与质量评估技术及装备、高原高烈度区电力设备减振控制关键技术、高山峡谷区域大型水电站全生命周期安全预警关键技术、水电站高风险场所运维作业机器人。</w:t>
      </w:r>
    </w:p>
    <w:p>
      <w:pPr>
        <w:pStyle w:val="11"/>
        <w:keepNext w:val="0"/>
        <w:keepLines w:val="0"/>
        <w:pageBreakBefore w:val="0"/>
        <w:kinsoku/>
        <w:wordWrap/>
        <w:overflowPunct/>
        <w:autoSpaceDN/>
        <w:bidi w:val="0"/>
        <w:spacing w:line="560" w:lineRule="exact"/>
        <w:textAlignment w:val="auto"/>
        <w:rPr>
          <w:rFonts w:ascii="Times New Roman" w:cs="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项，形成一批知识产权，实现技术自主可控、满足产业重大需求，形成行业领先的新产品；研制功能部件实现批量配套装配，样机主要技术指标经国家第三方授权机构检测</w:t>
      </w:r>
      <w:r>
        <w:rPr>
          <w:rFonts w:hint="eastAsia" w:ascii="Times New Roman" w:cs="Times New Roman"/>
          <w:bCs/>
          <w:color w:val="000000"/>
          <w:szCs w:val="32"/>
          <w:highlight w:val="none"/>
        </w:rPr>
        <w:t>，</w:t>
      </w:r>
      <w:r>
        <w:rPr>
          <w:rFonts w:ascii="Times New Roman" w:cs="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bCs/>
          <w:color w:val="000000"/>
          <w:szCs w:val="32"/>
          <w:highlight w:val="none"/>
        </w:rPr>
        <w:t>3</w:t>
      </w:r>
      <w:r>
        <w:rPr>
          <w:rFonts w:ascii="Times New Roman" w:cs="Times New Roman"/>
          <w:bCs/>
          <w:color w:val="000000"/>
          <w:szCs w:val="32"/>
          <w:highlight w:val="none"/>
        </w:rPr>
        <w:t>项，单</w:t>
      </w:r>
      <w:r>
        <w:rPr>
          <w:rFonts w:ascii="Times New Roman"/>
          <w:color w:val="000000"/>
          <w:szCs w:val="32"/>
          <w:highlight w:val="none"/>
        </w:rPr>
        <w:t>个项目资助经费原则上不超过</w:t>
      </w:r>
      <w:r>
        <w:rPr>
          <w:rFonts w:hint="eastAsia" w:ascii="Times New Roman"/>
          <w:color w:val="000000"/>
          <w:szCs w:val="32"/>
          <w:highlight w:val="none"/>
          <w:lang w:val="en-US" w:eastAsia="zh-CN"/>
        </w:rPr>
        <w:t>6</w:t>
      </w:r>
      <w:r>
        <w:rPr>
          <w:rFonts w:ascii="Times New Roman"/>
          <w:color w:val="000000"/>
          <w:szCs w:val="32"/>
          <w:highlight w:val="none"/>
        </w:rPr>
        <w:t>00万元</w:t>
      </w:r>
      <w:r>
        <w:rPr>
          <w:rFonts w:ascii="Times New Roman"/>
          <w:bCs/>
          <w:color w:val="000000"/>
          <w:szCs w:val="32"/>
          <w:highlight w:val="none"/>
        </w:rPr>
        <w:t>。</w:t>
      </w:r>
    </w:p>
    <w:p>
      <w:pPr>
        <w:pStyle w:val="11"/>
        <w:keepNext w:val="0"/>
        <w:keepLines w:val="0"/>
        <w:pageBreakBefore w:val="0"/>
        <w:kinsoku/>
        <w:wordWrap/>
        <w:overflowPunct/>
        <w:autoSpaceDN/>
        <w:bidi w:val="0"/>
        <w:spacing w:line="560" w:lineRule="exact"/>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方向三：光电材料器件及装备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开发硅锗等原材料、特种光学材料、红外材料、异质集成光电子材料、宽禁带半导体、化合物半导体、硅基光芯片材料、大面积量子点薄膜、锗基二维材料、大尺寸光伏半导体材料、锗基化合物功能材料、有机发光材料、微电子钎焊材料、微光夜视成像材料等前沿材料的加工、制备、生长与器件化关键技术；研发精密光学元件、高性能光电探测器件、高性能电子元器件、宽谱响应新型光电探测器件、量子点红外器件、全彩色硅基Micro-LED微型显示器、微型化多功能信息感知终端器件、高端半导体装备等关键技术，研发面向智慧农业的先进短波红外高光谱成像系统、用于远距离监测工业有毒有害气体的中长波红外高光谱遥测器件和设备、智能设计分析检测生产设备，以及空间红外光电设备性能退化评价与优化系统。</w:t>
      </w:r>
    </w:p>
    <w:p>
      <w:pPr>
        <w:pStyle w:val="11"/>
        <w:keepNext w:val="0"/>
        <w:keepLines w:val="0"/>
        <w:pageBreakBefore w:val="0"/>
        <w:kinsoku/>
        <w:wordWrap/>
        <w:overflowPunct/>
        <w:autoSpaceDN/>
        <w:bidi w:val="0"/>
        <w:spacing w:line="560" w:lineRule="exact"/>
        <w:textAlignment w:val="auto"/>
        <w:rPr>
          <w:rFonts w:ascii="Times New Roman" w:cs="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hAnsi="Times New Roman" w:eastAsia="方正仿宋_GBK" w:cs="Times New Roman"/>
          <w:b/>
          <w:bCs/>
          <w:color w:val="000000"/>
          <w:kern w:val="2"/>
          <w:sz w:val="32"/>
          <w:szCs w:val="32"/>
          <w:highlight w:val="none"/>
          <w:lang w:val="en-US" w:eastAsia="zh-CN" w:bidi="ar-SA"/>
        </w:rPr>
        <w:t>：</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项，形成一批知识产权，实现技术自主可控、满足产业重大需求，形成行业领先的新产品；研制功能部件实现批量配套装配，样机主要技术指标经国家第三方授权机构检测</w:t>
      </w:r>
      <w:r>
        <w:rPr>
          <w:rFonts w:hint="eastAsia" w:ascii="Times New Roman" w:cs="Times New Roman"/>
          <w:bCs/>
          <w:color w:val="000000"/>
          <w:szCs w:val="32"/>
          <w:highlight w:val="none"/>
        </w:rPr>
        <w:t>，</w:t>
      </w:r>
      <w:r>
        <w:rPr>
          <w:rFonts w:ascii="Times New Roman" w:cs="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bCs/>
          <w:color w:val="000000"/>
          <w:szCs w:val="32"/>
          <w:highlight w:val="none"/>
        </w:rPr>
        <w:t>3</w:t>
      </w:r>
      <w:r>
        <w:rPr>
          <w:rFonts w:ascii="Times New Roman" w:cs="Times New Roman"/>
          <w:bCs/>
          <w:color w:val="000000"/>
          <w:szCs w:val="32"/>
          <w:highlight w:val="none"/>
        </w:rPr>
        <w:t>项，</w:t>
      </w:r>
      <w:r>
        <w:rPr>
          <w:rFonts w:ascii="Times New Roman"/>
          <w:color w:val="000000"/>
          <w:szCs w:val="32"/>
          <w:highlight w:val="none"/>
        </w:rPr>
        <w:t>单个项目资助经费原则上不超过</w:t>
      </w:r>
      <w:r>
        <w:rPr>
          <w:rFonts w:hint="eastAsia" w:ascii="Times New Roman"/>
          <w:color w:val="000000"/>
          <w:szCs w:val="32"/>
          <w:highlight w:val="none"/>
          <w:lang w:val="en-US" w:eastAsia="zh-CN"/>
        </w:rPr>
        <w:t>6</w:t>
      </w:r>
      <w:r>
        <w:rPr>
          <w:rFonts w:ascii="Times New Roman"/>
          <w:color w:val="000000"/>
          <w:szCs w:val="32"/>
          <w:highlight w:val="none"/>
        </w:rPr>
        <w:t>00万元</w:t>
      </w:r>
      <w:r>
        <w:rPr>
          <w:rFonts w:ascii="Times New Roman"/>
          <w:bCs/>
          <w:color w:val="000000"/>
          <w:szCs w:val="32"/>
          <w:highlight w:val="none"/>
        </w:rPr>
        <w:t>。</w:t>
      </w:r>
    </w:p>
    <w:p>
      <w:pPr>
        <w:pStyle w:val="11"/>
        <w:keepNext w:val="0"/>
        <w:keepLines w:val="0"/>
        <w:pageBreakBefore w:val="0"/>
        <w:kinsoku/>
        <w:wordWrap/>
        <w:overflowPunct/>
        <w:autoSpaceDN/>
        <w:bidi w:val="0"/>
        <w:spacing w:line="560" w:lineRule="exact"/>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方向四：特色行业装备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重点围绕有色冶金、新材料、烟草等特色相关领域，开发智能感知系统与先进传感技术，构建生产过程实时监测与数据采集体系，实现生产过程态势的精准感知与闭环控制；研制面向特色工业加工的专用装备及核心部件与智能化生产线，重点突破有色冶金、新材料等产业领域关键材料的高效制备工艺技术及装备，实现工程化应用与规模化生产，满足国家重大战略需求；研发集成化成套装备与智能化生产线，通过基于机理模型的工艺参数自适应控制，实现产品品质特征的精准定向调控；研发融合多模态传感阵列、边缘算力芯片与5G-A等技术的先进物联网终端，突破可实时感知、推理、决策、执行的边缘智能体构建技术，实现重要工业过程和参数的智能精准监测与实时控制。</w:t>
      </w:r>
    </w:p>
    <w:p>
      <w:pPr>
        <w:pStyle w:val="11"/>
        <w:keepNext w:val="0"/>
        <w:keepLines w:val="0"/>
        <w:pageBreakBefore w:val="0"/>
        <w:kinsoku/>
        <w:wordWrap/>
        <w:overflowPunct/>
        <w:autoSpaceDN/>
        <w:bidi w:val="0"/>
        <w:spacing w:line="560" w:lineRule="exact"/>
        <w:textAlignment w:val="auto"/>
        <w:rPr>
          <w:rFonts w:ascii="Times New Roman"/>
          <w:bCs/>
          <w:color w:val="EE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项，形成一批知识产权，实现技术自主可控、满足产业重大需求，形成行业领先的新产品；研制功能部件实现批量配套装配，样机主要技术指标经国家第三方授权机构检测</w:t>
      </w:r>
      <w:r>
        <w:rPr>
          <w:rFonts w:hint="eastAsia" w:ascii="Times New Roman" w:cs="Times New Roman"/>
          <w:bCs/>
          <w:color w:val="000000"/>
          <w:szCs w:val="32"/>
          <w:highlight w:val="none"/>
        </w:rPr>
        <w:t>，</w:t>
      </w:r>
      <w:r>
        <w:rPr>
          <w:rFonts w:ascii="Times New Roman" w:cs="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bCs/>
          <w:color w:val="000000"/>
          <w:szCs w:val="32"/>
          <w:highlight w:val="none"/>
        </w:rPr>
        <w:t>4</w:t>
      </w:r>
      <w:r>
        <w:rPr>
          <w:rFonts w:ascii="Times New Roman" w:cs="Times New Roman"/>
          <w:bCs/>
          <w:color w:val="000000"/>
          <w:szCs w:val="32"/>
          <w:highlight w:val="none"/>
        </w:rPr>
        <w:t>项，单个项目资助经费原则上不超过</w:t>
      </w:r>
      <w:r>
        <w:rPr>
          <w:rFonts w:hint="eastAsia" w:ascii="Times New Roman" w:cs="Times New Roman"/>
          <w:bCs/>
          <w:color w:val="000000"/>
          <w:szCs w:val="32"/>
          <w:highlight w:val="none"/>
          <w:lang w:val="en-US" w:eastAsia="zh-CN"/>
        </w:rPr>
        <w:t>6</w:t>
      </w:r>
      <w:r>
        <w:rPr>
          <w:rFonts w:ascii="Times New Roman" w:cs="Times New Roman"/>
          <w:bCs/>
          <w:color w:val="000000"/>
          <w:szCs w:val="32"/>
          <w:highlight w:val="none"/>
        </w:rPr>
        <w:t>00万元。</w:t>
      </w:r>
    </w:p>
    <w:p>
      <w:pPr>
        <w:pStyle w:val="11"/>
        <w:keepNext w:val="0"/>
        <w:keepLines w:val="0"/>
        <w:pageBreakBefore w:val="0"/>
        <w:kinsoku/>
        <w:wordWrap/>
        <w:overflowPunct/>
        <w:autoSpaceDN/>
        <w:bidi w:val="0"/>
        <w:spacing w:line="560" w:lineRule="exact"/>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方向五：智能无人装备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研发自主水下机器人AUV的高可靠性通信、高精度定位与高效自主作业关键技术及关键元器件与系统集成技术等；复杂非结构矿山环境下的环境感知、定位、导航及底盘线控等关键技术、智能无人采掘作业机械装备、智能无人运输车辆装备；面向冶金、化工等高温、有毒、腐蚀等工业作业场景，研发代替人工操作的智能作业机器人和自主无人转运车辆装备；面向复杂开放场景及多式联运场景，满足室内外环境的智能搬运机器人系统和智能装卸机器人系统；复杂工业场景下基于数字孪生的运行状态及任务信息实时跟踪、智能机器人智能协同调度与集群控制等关键技术；融合卫星通信、快速自组网、AI等关键技术，适用于高原复杂地形及气候条件的自然灾害处置技术、多机型无人机装备与系统平台。</w:t>
      </w:r>
    </w:p>
    <w:p>
      <w:pPr>
        <w:pStyle w:val="11"/>
        <w:keepNext w:val="0"/>
        <w:keepLines w:val="0"/>
        <w:pageBreakBefore w:val="0"/>
        <w:kinsoku/>
        <w:wordWrap/>
        <w:overflowPunct/>
        <w:autoSpaceDN/>
        <w:bidi w:val="0"/>
        <w:spacing w:line="560" w:lineRule="exact"/>
        <w:textAlignment w:val="auto"/>
        <w:rPr>
          <w:rFonts w:ascii="Times New Roman"/>
          <w:bCs/>
          <w:color w:val="EE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项，形成一批知识产权，实现技术自主可控、满足产业重大需求，形成行业领先的新产品；研制功能部件实现批量配套装配，样机主要技术指标经国家第三方授权机构检测</w:t>
      </w:r>
      <w:r>
        <w:rPr>
          <w:rFonts w:hint="eastAsia" w:ascii="Times New Roman" w:cs="Times New Roman"/>
          <w:bCs/>
          <w:color w:val="000000"/>
          <w:szCs w:val="32"/>
          <w:highlight w:val="none"/>
        </w:rPr>
        <w:t>，</w:t>
      </w:r>
      <w:r>
        <w:rPr>
          <w:rFonts w:ascii="Times New Roman" w:cs="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bCs/>
          <w:color w:val="000000"/>
          <w:szCs w:val="32"/>
          <w:highlight w:val="none"/>
        </w:rPr>
        <w:t>4</w:t>
      </w:r>
      <w:r>
        <w:rPr>
          <w:rFonts w:ascii="Times New Roman" w:cs="Times New Roman"/>
          <w:bCs/>
          <w:color w:val="000000"/>
          <w:szCs w:val="32"/>
          <w:highlight w:val="none"/>
        </w:rPr>
        <w:t>项，</w:t>
      </w:r>
      <w:r>
        <w:rPr>
          <w:rFonts w:ascii="Times New Roman"/>
          <w:color w:val="000000"/>
          <w:szCs w:val="32"/>
          <w:highlight w:val="none"/>
        </w:rPr>
        <w:t>单个项目资助经费原则上不超过</w:t>
      </w:r>
      <w:r>
        <w:rPr>
          <w:rFonts w:hint="eastAsia" w:ascii="Times New Roman"/>
          <w:color w:val="000000"/>
          <w:szCs w:val="32"/>
          <w:highlight w:val="none"/>
          <w:lang w:val="en-US" w:eastAsia="zh-CN"/>
        </w:rPr>
        <w:t>6</w:t>
      </w:r>
      <w:r>
        <w:rPr>
          <w:rFonts w:ascii="Times New Roman"/>
          <w:color w:val="000000"/>
          <w:szCs w:val="32"/>
          <w:highlight w:val="none"/>
        </w:rPr>
        <w:t>00万元</w:t>
      </w:r>
      <w:r>
        <w:rPr>
          <w:rFonts w:ascii="Times New Roman"/>
          <w:bCs/>
          <w:color w:val="000000"/>
          <w:szCs w:val="32"/>
          <w:highlight w:val="none"/>
        </w:rPr>
        <w:t>。</w:t>
      </w:r>
    </w:p>
    <w:p>
      <w:pPr>
        <w:pStyle w:val="11"/>
        <w:keepNext w:val="0"/>
        <w:keepLines w:val="0"/>
        <w:pageBreakBefore w:val="0"/>
        <w:kinsoku/>
        <w:wordWrap/>
        <w:overflowPunct/>
        <w:autoSpaceDN/>
        <w:bidi w:val="0"/>
        <w:spacing w:line="560" w:lineRule="exact"/>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方向六：现代交通装备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bCs/>
          <w:color w:val="000000"/>
          <w:szCs w:val="32"/>
          <w:highlight w:val="none"/>
        </w:rPr>
        <w:t>研发面向营运、管养、灾害防治全过程的在役公路、水路基础设施灾变智能感知、无人检测与安全韧性提升建造技术，面向落石崩塌、地震、恶劣气象等场景的智能巡检监测装备、应急处置与快速修复装备；高原复杂环境下的轨道交通施工、智能运维管控、监测预警、全生命周期管理等技术及应急装备；高速铁路无砟轨道快速修复、更换技术及装备；交通洪涝灾害情境下的水下智能巡检、水陆两栖抢险救援及灾后设施修复成套技术装备。</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cs="Times New Roman"/>
          <w:bCs/>
          <w:color w:val="000000"/>
          <w:szCs w:val="32"/>
          <w:highlight w:val="none"/>
        </w:rPr>
        <w:t>单个项目</w:t>
      </w:r>
      <w:r>
        <w:rPr>
          <w:rFonts w:ascii="Times New Roman" w:cs="Times New Roman"/>
          <w:bCs/>
          <w:color w:val="000000"/>
          <w:szCs w:val="32"/>
          <w:highlight w:val="none"/>
        </w:rPr>
        <w:t>突破相关装备领域关键核心技术</w:t>
      </w:r>
      <w:r>
        <w:rPr>
          <w:rFonts w:hint="eastAsia" w:ascii="Times New Roman" w:cs="Times New Roman"/>
          <w:bCs/>
          <w:color w:val="000000"/>
          <w:szCs w:val="32"/>
          <w:highlight w:val="none"/>
        </w:rPr>
        <w:t>不少于1</w:t>
      </w:r>
      <w:r>
        <w:rPr>
          <w:rFonts w:ascii="Times New Roman" w:cs="Times New Roman"/>
          <w:bCs/>
          <w:color w:val="000000"/>
          <w:szCs w:val="32"/>
          <w:highlight w:val="none"/>
        </w:rPr>
        <w:t>项，形成一批知识产权，实现技术自主可控、满足产业重大需求，形成行业领先的新产品；研制功能部件实现批量配套装配，样机主要技术指标经国家第三方授权机构检测</w:t>
      </w:r>
      <w:r>
        <w:rPr>
          <w:rFonts w:hint="eastAsia" w:ascii="Times New Roman" w:cs="Times New Roman"/>
          <w:bCs/>
          <w:color w:val="000000"/>
          <w:szCs w:val="32"/>
          <w:highlight w:val="none"/>
        </w:rPr>
        <w:t>，</w:t>
      </w:r>
      <w:r>
        <w:rPr>
          <w:rFonts w:ascii="Times New Roman" w:cs="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cs="Times New Roman"/>
          <w:bCs/>
          <w:color w:val="000000"/>
          <w:szCs w:val="32"/>
          <w:highlight w:val="none"/>
        </w:rPr>
        <w:t>3</w:t>
      </w:r>
      <w:r>
        <w:rPr>
          <w:rFonts w:ascii="Times New Roman" w:cs="Times New Roman"/>
          <w:bCs/>
          <w:color w:val="000000"/>
          <w:szCs w:val="32"/>
          <w:highlight w:val="none"/>
        </w:rPr>
        <w:t>项，单</w:t>
      </w:r>
      <w:r>
        <w:rPr>
          <w:rFonts w:ascii="Times New Roman"/>
          <w:color w:val="000000"/>
          <w:szCs w:val="32"/>
          <w:highlight w:val="none"/>
        </w:rPr>
        <w:t>个项目资助经费原则上不超过</w:t>
      </w:r>
      <w:r>
        <w:rPr>
          <w:rFonts w:hint="eastAsia" w:ascii="Times New Roman"/>
          <w:color w:val="000000"/>
          <w:szCs w:val="32"/>
          <w:highlight w:val="none"/>
          <w:lang w:val="en-US" w:eastAsia="zh-CN"/>
        </w:rPr>
        <w:t>6</w:t>
      </w:r>
      <w:r>
        <w:rPr>
          <w:rFonts w:ascii="Times New Roman"/>
          <w:color w:val="000000"/>
          <w:szCs w:val="32"/>
          <w:highlight w:val="none"/>
        </w:rPr>
        <w:t>00万元</w:t>
      </w:r>
      <w:r>
        <w:rPr>
          <w:rFonts w:ascii="Times New Roman"/>
          <w:bCs/>
          <w:color w:val="000000"/>
          <w:szCs w:val="32"/>
          <w:highlight w:val="none"/>
        </w:rPr>
        <w:t>。</w:t>
      </w:r>
    </w:p>
    <w:p>
      <w:pPr>
        <w:pStyle w:val="11"/>
        <w:keepNext w:val="0"/>
        <w:keepLines w:val="0"/>
        <w:pageBreakBefore w:val="0"/>
        <w:kinsoku/>
        <w:wordWrap/>
        <w:overflowPunct/>
        <w:autoSpaceDN/>
        <w:bidi w:val="0"/>
        <w:spacing w:line="560" w:lineRule="exact"/>
        <w:textAlignment w:val="auto"/>
        <w:rPr>
          <w:rFonts w:hint="eastAsia" w:ascii="Times New Roman" w:hAnsi="Times New Roman" w:eastAsia="方正仿宋_GBK" w:cs="Times New Roman"/>
          <w:b/>
          <w:bCs/>
          <w:color w:val="000000"/>
          <w:kern w:val="2"/>
          <w:sz w:val="32"/>
          <w:szCs w:val="32"/>
          <w:highlight w:val="none"/>
          <w:lang w:val="en-US" w:eastAsia="zh-CN" w:bidi="ar-SA"/>
        </w:rPr>
      </w:pPr>
      <w:r>
        <w:rPr>
          <w:rFonts w:hint="eastAsia" w:ascii="Times New Roman" w:hAnsi="Times New Roman" w:eastAsia="方正仿宋_GBK" w:cs="Times New Roman"/>
          <w:b/>
          <w:bCs/>
          <w:color w:val="000000"/>
          <w:kern w:val="2"/>
          <w:sz w:val="32"/>
          <w:szCs w:val="32"/>
          <w:highlight w:val="none"/>
          <w:lang w:val="en-US" w:eastAsia="zh-CN" w:bidi="ar-SA"/>
        </w:rPr>
        <w:t>方向七：半导体装备</w:t>
      </w:r>
    </w:p>
    <w:p>
      <w:pPr>
        <w:pStyle w:val="11"/>
        <w:keepNext w:val="0"/>
        <w:keepLines w:val="0"/>
        <w:pageBreakBefore w:val="0"/>
        <w:kinsoku/>
        <w:wordWrap/>
        <w:overflowPunct/>
        <w:autoSpaceDN/>
        <w:bidi w:val="0"/>
        <w:spacing w:line="560" w:lineRule="exact"/>
        <w:textAlignment w:val="auto"/>
        <w:rPr>
          <w:rFonts w:hint="eastAsia" w:ascii="Times New Roman"/>
          <w:bCs/>
          <w:color w:val="000000"/>
          <w:szCs w:val="32"/>
          <w:highlight w:val="none"/>
        </w:rPr>
      </w:pPr>
      <w:r>
        <w:rPr>
          <w:rFonts w:hint="eastAsia" w:ascii="Times New Roman" w:hAnsi="Times New Roman" w:eastAsia="方正仿宋_GBK" w:cs="Times New Roman"/>
          <w:b/>
          <w:bCs/>
          <w:color w:val="000000"/>
          <w:kern w:val="2"/>
          <w:sz w:val="32"/>
          <w:szCs w:val="32"/>
          <w:highlight w:val="none"/>
          <w:lang w:val="en-US" w:eastAsia="zh-CN" w:bidi="ar-SA"/>
        </w:rPr>
        <w:t>主要支持内容：</w:t>
      </w:r>
      <w:r>
        <w:rPr>
          <w:rFonts w:hint="eastAsia" w:ascii="Times New Roman"/>
          <w:bCs/>
          <w:color w:val="000000"/>
          <w:szCs w:val="32"/>
          <w:highlight w:val="none"/>
        </w:rPr>
        <w:t>围绕极紫外激光光源、电子束曝光及半导体检测装备开展关键技术攻关</w:t>
      </w:r>
      <w:r>
        <w:rPr>
          <w:rFonts w:hint="eastAsia" w:ascii="Times New Roman"/>
          <w:bCs/>
          <w:color w:val="000000"/>
          <w:szCs w:val="32"/>
          <w:highlight w:val="none"/>
          <w:lang w:eastAsia="zh-CN"/>
        </w:rPr>
        <w:t>，</w:t>
      </w:r>
      <w:r>
        <w:rPr>
          <w:rFonts w:hint="eastAsia" w:ascii="Times New Roman"/>
          <w:bCs/>
          <w:color w:val="000000"/>
          <w:szCs w:val="32"/>
          <w:highlight w:val="none"/>
        </w:rPr>
        <w:t>研制自主可控的13.5 nm极紫外激光光源装备，突破半导体面形及缺陷检测装备集成等关键技术，形成配套光刻设备和光学镜面检测设备；研制电子束曝光机，研究基于电子束曝光的晶圆检测技术，形成配套光刻设备和晶圆缺陷检测设备。</w:t>
      </w:r>
    </w:p>
    <w:p>
      <w:pPr>
        <w:pStyle w:val="11"/>
        <w:keepNext w:val="0"/>
        <w:keepLines w:val="0"/>
        <w:pageBreakBefore w:val="0"/>
        <w:kinsoku/>
        <w:wordWrap/>
        <w:overflowPunct/>
        <w:autoSpaceDN/>
        <w:bidi w:val="0"/>
        <w:spacing w:line="560" w:lineRule="exact"/>
        <w:textAlignment w:val="auto"/>
        <w:rPr>
          <w:rFonts w:hint="eastAsia" w:ascii="Times New Roman"/>
          <w:bCs/>
          <w:color w:val="000000"/>
          <w:szCs w:val="32"/>
          <w:highlight w:val="none"/>
        </w:rPr>
      </w:pPr>
      <w:r>
        <w:rPr>
          <w:rFonts w:hint="eastAsia"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bCs/>
          <w:color w:val="000000"/>
          <w:szCs w:val="32"/>
          <w:highlight w:val="none"/>
        </w:rPr>
        <w:t>单个项目突破相关装备领域关键核心技术不少于1项，形成一批知识产权，实现技术自主可控、满足产业重大需求，形成行业领先的新产品；研制功能部件实现批量配套装配，样机主要技术指标经国家第三方授权机构检测</w:t>
      </w:r>
      <w:r>
        <w:rPr>
          <w:rFonts w:hint="eastAsia" w:ascii="Times New Roman"/>
          <w:bCs/>
          <w:color w:val="000000"/>
          <w:szCs w:val="32"/>
          <w:highlight w:val="none"/>
          <w:lang w:eastAsia="zh-CN"/>
        </w:rPr>
        <w:t>，</w:t>
      </w:r>
      <w:r>
        <w:rPr>
          <w:rFonts w:hint="eastAsia" w:ascii="Times New Roman"/>
          <w:bCs/>
          <w:color w:val="000000"/>
          <w:szCs w:val="32"/>
          <w:highlight w:val="none"/>
        </w:rPr>
        <w:t>达到行业领先。</w:t>
      </w:r>
    </w:p>
    <w:p>
      <w:pPr>
        <w:pStyle w:val="11"/>
        <w:keepNext w:val="0"/>
        <w:keepLines w:val="0"/>
        <w:pageBreakBefore w:val="0"/>
        <w:kinsoku/>
        <w:wordWrap/>
        <w:overflowPunct/>
        <w:autoSpaceDN/>
        <w:bidi w:val="0"/>
        <w:spacing w:line="560" w:lineRule="exact"/>
        <w:textAlignment w:val="auto"/>
        <w:rPr>
          <w:rFonts w:ascii="Times New Roman"/>
          <w:bCs/>
          <w:color w:val="000000"/>
          <w:szCs w:val="32"/>
          <w:highlight w:val="none"/>
        </w:rPr>
      </w:pPr>
      <w:r>
        <w:rPr>
          <w:rFonts w:hint="eastAsia"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bCs/>
          <w:color w:val="000000"/>
          <w:szCs w:val="32"/>
          <w:highlight w:val="none"/>
        </w:rPr>
        <w:t>拟支持项目数原则上不超过2项，单个项目资助经费原则上不超过600万元。</w:t>
      </w:r>
    </w:p>
    <w:bookmarkEnd w:id="11"/>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12" w:name="_Toc8865"/>
      <w:r>
        <w:rPr>
          <w:rFonts w:hint="default" w:ascii="Times New Roman" w:hAnsi="Times New Roman" w:eastAsia="方正仿宋_GBK" w:cs="Times New Roman"/>
          <w:b/>
          <w:bCs/>
          <w:color w:val="000000"/>
          <w:sz w:val="32"/>
          <w:szCs w:val="32"/>
          <w:highlight w:val="none"/>
          <w:lang w:val="en-US" w:eastAsia="zh-CN"/>
        </w:rPr>
        <w:t>10.数字经济</w:t>
      </w:r>
      <w:bookmarkEnd w:id="12"/>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方向一：可信数据空间建设关键技术及创新应用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重点突破接入认证、全链路行为存证及智能合约管控技术，攻克数据沙箱、可信执行环境（TEE）、高性能隐私保护计算、密态计算、数据使用控制、数据可信溯源等关键技术。突破跨域数据管理、数据编织、异构数据标识解析、语义自动化发现及元数据智能识别技术，消除数据孤岛。研发动态、多维度的数据资产价值评估和定价模型与共创机制，支撑数据要素的产品化与服务化转型。</w:t>
      </w:r>
      <w:r>
        <w:rPr>
          <w:rFonts w:hint="eastAsia" w:ascii="Times New Roman" w:hAnsi="Times New Roman" w:eastAsia="方正仿宋_GBK"/>
          <w:color w:val="000000"/>
          <w:sz w:val="32"/>
          <w:szCs w:val="32"/>
          <w:highlight w:val="none"/>
          <w:lang w:eastAsia="zh-CN"/>
        </w:rPr>
        <w:t>开展商用密码技术创新与应用。</w:t>
      </w:r>
    </w:p>
    <w:p>
      <w:pPr>
        <w:keepNext w:val="0"/>
        <w:keepLines w:val="0"/>
        <w:pageBreakBefore w:val="0"/>
        <w:kinsoku/>
        <w:wordWrap/>
        <w:overflowPunct/>
        <w:autoSpaceDN/>
        <w:bidi w:val="0"/>
        <w:spacing w:line="560" w:lineRule="exact"/>
        <w:ind w:firstLine="642" w:firstLineChars="200"/>
        <w:textAlignment w:val="auto"/>
        <w:rPr>
          <w:rFonts w:hint="eastAsia"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s="Times New Roman"/>
          <w:color w:val="000000"/>
          <w:sz w:val="32"/>
          <w:szCs w:val="32"/>
          <w:highlight w:val="none"/>
        </w:rPr>
        <w:t>实现</w:t>
      </w:r>
      <w:r>
        <w:rPr>
          <w:rFonts w:hint="eastAsia" w:ascii="Times New Roman" w:hAnsi="Times New Roman" w:eastAsia="方正仿宋_GBK" w:cs="Times New Roman"/>
          <w:color w:val="000000"/>
          <w:sz w:val="32"/>
          <w:szCs w:val="32"/>
          <w:highlight w:val="none"/>
          <w:lang w:val="en-US" w:eastAsia="zh-CN"/>
        </w:rPr>
        <w:t>示范</w:t>
      </w:r>
      <w:r>
        <w:rPr>
          <w:rFonts w:ascii="Times New Roman" w:hAnsi="Times New Roman" w:eastAsia="方正仿宋_GBK" w:cs="Times New Roman"/>
          <w:color w:val="000000"/>
          <w:sz w:val="32"/>
          <w:szCs w:val="32"/>
          <w:highlight w:val="none"/>
        </w:rPr>
        <w:t>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rPr>
        <w:t>4项，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方向二：数据要素化与产业创新应用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重点研究多源异构数据的智能采集、清洗标注与汇聚技术，构建跨境贸易、交通物流等重点领域高质量数据集；面向南亚东南亚跨语言、多文化场景，研发多模态语料处理与标准化技术，建设区域性国际合作语料库。突破隐私保护计算、联邦学习及跨境数据流动下的敏感数据</w:t>
      </w:r>
      <w:r>
        <w:rPr>
          <w:rFonts w:ascii="Times New Roman" w:hAnsi="Times New Roman" w:eastAsia="方正仿宋_GBK"/>
          <w:color w:val="000000"/>
          <w:w w:val="98"/>
          <w:sz w:val="32"/>
          <w:szCs w:val="32"/>
          <w:highlight w:val="none"/>
        </w:rPr>
        <w:t>识别与防护关键技术，建立数据全生命周期安全管控体系。研发智能化数据治理、交易及风险监测平台，并在绿色能源、交通物流、智慧口岸等领域开展数据驱动的业务创新示范应用。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s="Times New Roman"/>
          <w:color w:val="000000"/>
          <w:sz w:val="32"/>
          <w:szCs w:val="32"/>
          <w:highlight w:val="none"/>
        </w:rPr>
        <w:t>实现</w:t>
      </w:r>
      <w:r>
        <w:rPr>
          <w:rFonts w:hint="eastAsia" w:ascii="Times New Roman" w:hAnsi="Times New Roman" w:eastAsia="方正仿宋_GBK" w:cs="Times New Roman"/>
          <w:color w:val="000000"/>
          <w:sz w:val="32"/>
          <w:szCs w:val="32"/>
          <w:highlight w:val="none"/>
          <w:lang w:val="en-US" w:eastAsia="zh-CN"/>
        </w:rPr>
        <w:t>示范</w:t>
      </w:r>
      <w:r>
        <w:rPr>
          <w:rFonts w:ascii="Times New Roman" w:hAnsi="Times New Roman" w:eastAsia="方正仿宋_GBK" w:cs="Times New Roman"/>
          <w:color w:val="000000"/>
          <w:sz w:val="32"/>
          <w:szCs w:val="32"/>
          <w:highlight w:val="none"/>
        </w:rPr>
        <w:t>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bCs/>
          <w:color w:val="000000"/>
          <w:sz w:val="32"/>
          <w:szCs w:val="32"/>
          <w:highlight w:val="none"/>
        </w:rPr>
        <w:t>4项，</w:t>
      </w:r>
      <w:r>
        <w:rPr>
          <w:rFonts w:ascii="Times New Roman" w:hAnsi="Times New Roman" w:eastAsia="方正仿宋_GBK" w:cs="Times New Roman"/>
          <w:bCs/>
          <w:color w:val="000000"/>
          <w:sz w:val="32"/>
          <w:szCs w:val="32"/>
          <w:highlight w:val="none"/>
        </w:rPr>
        <w:t>单个项目资助经费原则上不超过</w:t>
      </w:r>
      <w:r>
        <w:rPr>
          <w:rFonts w:hint="eastAsia" w:ascii="Times New Roman" w:hAnsi="Times New Roman" w:eastAsia="方正仿宋_GBK" w:cs="Times New Roman"/>
          <w:bCs/>
          <w:color w:val="000000"/>
          <w:sz w:val="32"/>
          <w:szCs w:val="32"/>
          <w:highlight w:val="none"/>
          <w:lang w:val="en-US" w:eastAsia="zh-CN"/>
        </w:rPr>
        <w:t>6</w:t>
      </w:r>
      <w:r>
        <w:rPr>
          <w:rFonts w:ascii="Times New Roman" w:hAnsi="Times New Roman" w:eastAsia="方正仿宋_GBK" w:cs="Times New Roman"/>
          <w:bCs/>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方向三：工业互联网关键技术及创新应用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hint="eastAsia" w:ascii="Times New Roman" w:hAnsi="Times New Roman" w:eastAsia="方正仿宋_GBK"/>
          <w:color w:val="000000"/>
          <w:sz w:val="32"/>
          <w:szCs w:val="32"/>
          <w:highlight w:val="none"/>
          <w:lang w:eastAsia="zh-CN"/>
        </w:rPr>
        <w:t>以</w:t>
      </w:r>
      <w:r>
        <w:rPr>
          <w:rFonts w:ascii="Times New Roman" w:hAnsi="Times New Roman" w:eastAsia="方正仿宋_GBK"/>
          <w:color w:val="000000"/>
          <w:sz w:val="32"/>
          <w:szCs w:val="32"/>
          <w:highlight w:val="none"/>
        </w:rPr>
        <w:t>深化“智改数转网联”、推动智能化改造、数字化转型和网络化联接为方向，重点研发工业互联网标识解析与智能追踪、工业网络与通信、边缘智能与协同计算等关键技术；突破集智能感知与状态识别、生产过程数字孪生、产业链多层级协同优化等关键技术，研发集智能化生产、网络化管理、智慧化服务于一体的工业互联网平台，并面向烟草、矿山、冶金、石油、化工、新材料、集成电路、智能终端等领域开展示范应用。</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仿宋_GBK"/>
          <w:color w:val="000000"/>
          <w:kern w:val="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ascii="Times New Roman" w:hAnsi="Times New Roman" w:eastAsia="方正仿宋_GBK" w:cs="Times New Roman"/>
          <w:color w:val="000000"/>
          <w:sz w:val="32"/>
          <w:szCs w:val="32"/>
          <w:highlight w:val="none"/>
        </w:rPr>
        <w:t>实现</w:t>
      </w:r>
      <w:r>
        <w:rPr>
          <w:rFonts w:hint="eastAsia" w:ascii="Times New Roman" w:hAnsi="Times New Roman" w:eastAsia="方正仿宋_GBK" w:cs="Times New Roman"/>
          <w:color w:val="000000"/>
          <w:sz w:val="32"/>
          <w:szCs w:val="32"/>
          <w:highlight w:val="none"/>
          <w:lang w:val="en-US" w:eastAsia="zh-CN"/>
        </w:rPr>
        <w:t>示范</w:t>
      </w:r>
      <w:r>
        <w:rPr>
          <w:rFonts w:ascii="Times New Roman" w:hAnsi="Times New Roman" w:eastAsia="方正仿宋_GBK" w:cs="Times New Roman"/>
          <w:color w:val="000000"/>
          <w:sz w:val="32"/>
          <w:szCs w:val="32"/>
          <w:highlight w:val="none"/>
        </w:rPr>
        <w:t>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bCs/>
          <w:color w:val="000000"/>
          <w:sz w:val="32"/>
          <w:szCs w:val="32"/>
          <w:highlight w:val="none"/>
          <w:lang w:val="en-US" w:eastAsia="zh-CN"/>
        </w:rPr>
        <w:t>5</w:t>
      </w:r>
      <w:r>
        <w:rPr>
          <w:rFonts w:hint="eastAsia" w:ascii="Times New Roman" w:hAnsi="Times New Roman" w:eastAsia="方正仿宋_GBK" w:cs="Times New Roman"/>
          <w:bCs/>
          <w:color w:val="000000"/>
          <w:sz w:val="32"/>
          <w:szCs w:val="32"/>
          <w:highlight w:val="none"/>
        </w:rPr>
        <w:t>项，</w:t>
      </w:r>
      <w:r>
        <w:rPr>
          <w:rFonts w:ascii="Times New Roman" w:hAnsi="Times New Roman" w:eastAsia="方正仿宋_GBK" w:cs="Times New Roman"/>
          <w:bCs/>
          <w:color w:val="000000"/>
          <w:sz w:val="32"/>
          <w:szCs w:val="32"/>
          <w:highlight w:val="none"/>
        </w:rPr>
        <w:t>单个项目资助经费原则上不超过</w:t>
      </w:r>
      <w:r>
        <w:rPr>
          <w:rFonts w:hint="eastAsia" w:ascii="Times New Roman" w:hAnsi="Times New Roman" w:eastAsia="方正仿宋_GBK" w:cs="Times New Roman"/>
          <w:bCs/>
          <w:color w:val="000000"/>
          <w:sz w:val="32"/>
          <w:szCs w:val="32"/>
          <w:highlight w:val="none"/>
          <w:lang w:val="en-US" w:eastAsia="zh-CN"/>
        </w:rPr>
        <w:t>6</w:t>
      </w:r>
      <w:r>
        <w:rPr>
          <w:rFonts w:ascii="Times New Roman" w:hAnsi="Times New Roman" w:eastAsia="方正仿宋_GBK" w:cs="Times New Roman"/>
          <w:bCs/>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13" w:name="_Toc23017"/>
      <w:r>
        <w:rPr>
          <w:rFonts w:hint="default" w:ascii="Times New Roman" w:hAnsi="Times New Roman" w:eastAsia="方正仿宋_GBK" w:cs="Times New Roman"/>
          <w:b/>
          <w:bCs/>
          <w:color w:val="000000"/>
          <w:sz w:val="32"/>
          <w:szCs w:val="32"/>
          <w:highlight w:val="none"/>
          <w:lang w:val="en-US" w:eastAsia="zh-CN"/>
        </w:rPr>
        <w:t>11.低空经济</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方向一：高原低空装备制造和测试</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kern w:val="0"/>
          <w:sz w:val="32"/>
          <w:szCs w:val="32"/>
          <w:highlight w:val="none"/>
          <w:lang w:bidi="zh-CN"/>
        </w:rPr>
        <w:t>研制适用于高原环境的工业级低空装备验证机，重点突破在稀薄空气、强阵风及复杂气流条件下的一系列关键技术，包括高效气动布局优化、轻量化复合材料应用、智能挂载装备、高适应性机体结构设计以及高可靠性飞行控制系统；面向高原低空大载重长航时低空装备动力系统核心性能提升需求，研发高原低空动力系统、绿色能源动力、高原低空动力环境适应性测试和验证等关键核心技术；研发强阵风、复杂气流、弱信号等复杂条件下低空装备自主导航技术，实现无人机在高原山区、峡谷、丛林、城市等复杂环境下的高精度定位、稳定导航与智能避障。构建覆盖高原典型工况的低空试验测试平台，开展飞行性能验证、电磁兼容性评估、材料耐久性、复杂气象适应性测试等共性技术研究，为高原低空装备的工程化与规模化应用提供支撑。</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4项，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color w:val="000000"/>
          <w:kern w:val="0"/>
          <w:sz w:val="32"/>
          <w:szCs w:val="32"/>
          <w:highlight w:val="none"/>
          <w:lang w:bidi="zh-CN"/>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方向二：低空智联网与空域动态管理</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针对低空经济发展的通信网络与空域资源保障需求，研发高原复杂环境下的低空通信、抗干扰组网与网络优化等关键技术，支撑低空智联网的可靠通信；研发空域网格化与数字孪生、实时三维环境建模、多源融合感知与智能决策等空域管理技术，研发动态资源调度与协同控制、空域态势感知与应急处理等高效运行技术，实现低空空域资源的智能优化配置与动态均衡调度。建设具备区域覆盖、实时协同、智能决策等特征的低空智联网与空域动态管理系统，为低空经济活动提供安全、高效、可控的空域资源保障与数字化服务底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left"/>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kern w:val="0"/>
          <w:sz w:val="32"/>
          <w:szCs w:val="32"/>
          <w:highlight w:val="none"/>
          <w:lang w:val="en-US" w:eastAsia="zh-CN" w:bidi="ar"/>
        </w:rPr>
        <w:t>2项，</w:t>
      </w:r>
      <w:r>
        <w:rPr>
          <w:rFonts w:ascii="Times New Roman" w:hAnsi="Times New Roman" w:eastAsia="方正仿宋_GBK" w:cs="Times New Roman"/>
          <w:color w:val="000000"/>
          <w:kern w:val="0"/>
          <w:sz w:val="32"/>
          <w:szCs w:val="32"/>
          <w:highlight w:val="none"/>
          <w:lang w:val="en-US" w:eastAsia="zh-CN" w:bidi="ar"/>
        </w:rPr>
        <w:t>单个项目资助经费原则上不超过</w:t>
      </w:r>
      <w:r>
        <w:rPr>
          <w:rFonts w:hint="eastAsia" w:ascii="Times New Roman" w:hAnsi="Times New Roman" w:eastAsia="方正仿宋_GBK" w:cs="Times New Roman"/>
          <w:color w:val="000000"/>
          <w:kern w:val="0"/>
          <w:sz w:val="32"/>
          <w:szCs w:val="32"/>
          <w:highlight w:val="none"/>
          <w:lang w:val="en-US" w:eastAsia="zh-CN" w:bidi="ar"/>
        </w:rPr>
        <w:t>6</w:t>
      </w:r>
      <w:r>
        <w:rPr>
          <w:rFonts w:ascii="Times New Roman" w:hAnsi="Times New Roman" w:eastAsia="方正仿宋_GBK" w:cs="Times New Roman"/>
          <w:color w:val="000000"/>
          <w:kern w:val="0"/>
          <w:sz w:val="32"/>
          <w:szCs w:val="32"/>
          <w:highlight w:val="none"/>
          <w:lang w:val="en-US" w:eastAsia="zh-CN" w:bidi="ar"/>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方向三：低空安全管控与智能协同控制</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kern w:val="0"/>
          <w:sz w:val="32"/>
          <w:szCs w:val="32"/>
          <w:highlight w:val="none"/>
          <w:lang w:bidi="zh-CN"/>
        </w:rPr>
        <w:t>研究低空装备在GPS拒止、通信中断等复杂情况下通信、导航及自主飞行安全处置技术；研究基于全天候成像、多传感器融合及人工智能的非合作无人机探测、识别、监视及反制关键技术，突破复杂背景下低慢小目标的精准感知、意图识别与轨迹预测；研发抗干扰、防窃取的无人机信息加密与安全传输机制，满足边境、高原等敏感区域通信安全需求；面向高原复杂环境下低空安全风险与特情处置需求，</w:t>
      </w:r>
      <w:r>
        <w:rPr>
          <w:rFonts w:ascii="Times New Roman" w:hAnsi="Times New Roman" w:eastAsia="方正仿宋_GBK"/>
          <w:color w:val="000000"/>
          <w:w w:val="98"/>
          <w:kern w:val="0"/>
          <w:sz w:val="32"/>
          <w:szCs w:val="32"/>
          <w:highlight w:val="none"/>
          <w:lang w:bidi="zh-CN"/>
        </w:rPr>
        <w:t>研究低空安全风险识别、智能推演与评估、应急响应与协同处置等关键技术；研究无人机环境感知、路径规划、自主决策及控制，突破高原山区复杂环境下无人机的智能感知、航线动态避障、稳定飞行控制等关键技术；研发异构无人机集群结构优化设计、拓扑优化及识别与抗扰控制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color w:val="000000"/>
          <w:kern w:val="0"/>
          <w:sz w:val="32"/>
          <w:szCs w:val="32"/>
          <w:highlight w:val="none"/>
          <w:lang w:bidi="zh-CN"/>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方向四：面向场景应用的低空关键技术研发与创新应用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w w:val="98"/>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kern w:val="0"/>
          <w:sz w:val="32"/>
          <w:szCs w:val="32"/>
          <w:highlight w:val="none"/>
          <w:lang w:bidi="zh-CN"/>
        </w:rPr>
        <w:t>面向城市治理、工业巡检、应急救灾、农林作业、生态监测、交通物流等典型场景，研发基于场景应用需求的自主导航技术，实现无人机在不同应用场景下高精度定位、自主导航、实时避障与路径规划技术；以场景应用为牵引，基于无人机多光谱、高光谱、激光雷达等传感数据，研究智能感知与精准识别技术，研发轻量化人工智能算法，</w:t>
      </w:r>
      <w:r>
        <w:rPr>
          <w:rFonts w:ascii="Times New Roman" w:hAnsi="Times New Roman" w:eastAsia="方正仿宋_GBK"/>
          <w:color w:val="000000"/>
          <w:w w:val="98"/>
          <w:kern w:val="0"/>
          <w:sz w:val="32"/>
          <w:szCs w:val="32"/>
          <w:highlight w:val="none"/>
          <w:lang w:bidi="zh-CN"/>
        </w:rPr>
        <w:t>实现不同应用场景下特定目标的高精度检测与识别；研发空-地资源协同规划、复杂任务下多机协同自主作业、运营组织与模式、系统集成等关键技术，推动低空应用场景集成创新。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both"/>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color w:val="000000"/>
          <w:kern w:val="0"/>
          <w:sz w:val="32"/>
          <w:szCs w:val="32"/>
          <w:highlight w:val="none"/>
          <w:lang w:bidi="zh-CN"/>
        </w:rPr>
      </w:pPr>
      <w:r>
        <w:rPr>
          <w:rFonts w:ascii="Times New Roman" w:hAnsi="Times New Roman" w:eastAsia="方正楷体_GBK"/>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3项，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color w:val="000000"/>
          <w:kern w:val="0"/>
          <w:sz w:val="32"/>
          <w:szCs w:val="32"/>
          <w:highlight w:val="none"/>
          <w:lang w:bidi="zh-CN"/>
        </w:rPr>
        <w:t>。</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（三）未来产业</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12.人工智能</w:t>
      </w:r>
      <w:bookmarkEnd w:id="13"/>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一</w:t>
      </w:r>
      <w:r>
        <w:rPr>
          <w:rFonts w:hint="default" w:ascii="Times New Roman" w:hAnsi="Times New Roman" w:eastAsia="方正仿宋_GBK" w:cs="Times New Roman"/>
          <w:b/>
          <w:bCs/>
          <w:color w:val="000000"/>
          <w:sz w:val="32"/>
          <w:szCs w:val="32"/>
          <w:highlight w:val="none"/>
          <w:lang w:val="en-US" w:eastAsia="zh-CN"/>
        </w:rPr>
        <w:t>：“人工智能+科学技术”</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以人工智能驱动前沿工业研发，在高端装备制造、新材料、绿色能源等产业领域形成突破性技术成果，在云南开展AI赋能科研范式的典型场景示范应用，以数智融合加速技术创新和产业升级，探索多源异构数据驱动的科学发现新模式，实现智能化应用的成果转化。</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二</w:t>
      </w:r>
      <w:r>
        <w:rPr>
          <w:rFonts w:hint="default" w:ascii="Times New Roman" w:hAnsi="Times New Roman" w:eastAsia="方正仿宋_GBK" w:cs="Times New Roman"/>
          <w:b/>
          <w:bCs/>
          <w:color w:val="000000"/>
          <w:sz w:val="32"/>
          <w:szCs w:val="32"/>
          <w:highlight w:val="none"/>
          <w:lang w:val="en-US" w:eastAsia="zh-CN"/>
        </w:rPr>
        <w:t>：“人工智能+产业发展”</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hint="eastAsia" w:ascii="Times New Roman" w:hAnsi="Times New Roman" w:eastAsia="方正仿宋_GBK"/>
          <w:color w:val="000000"/>
          <w:sz w:val="32"/>
          <w:szCs w:val="32"/>
          <w:highlight w:val="none"/>
        </w:rPr>
        <w:t>聚焦资源型产业和先进制造业，深化人工智能融合赋能</w:t>
      </w:r>
      <w:r>
        <w:rPr>
          <w:rFonts w:hint="eastAsia" w:ascii="Times New Roman" w:hAnsi="Times New Roman" w:eastAsia="方正仿宋_GBK"/>
          <w:color w:val="000000"/>
          <w:sz w:val="32"/>
          <w:szCs w:val="32"/>
          <w:highlight w:val="none"/>
          <w:lang w:eastAsia="zh-CN"/>
        </w:rPr>
        <w:t>，</w:t>
      </w:r>
      <w:r>
        <w:rPr>
          <w:rFonts w:hint="eastAsia" w:ascii="Times New Roman" w:hAnsi="Times New Roman" w:eastAsia="方正仿宋_GBK"/>
          <w:color w:val="000000"/>
          <w:sz w:val="32"/>
          <w:szCs w:val="32"/>
          <w:highlight w:val="none"/>
        </w:rPr>
        <w:t>加强资源勘探、智能开采、高效利用与循环回收等环节的创新应用，构建材料基因工程等高质量数据集，推广无人智能采矿装备，部署垂类大模型和智能体，实施全流程智能化调控与改造，打造一批数智工厂，推广具身智能等高端装备，鼓励发展集成电路材料、智能终端、智能服务器、低空装备等产业</w:t>
      </w:r>
      <w:r>
        <w:rPr>
          <w:rFonts w:ascii="Times New Roman" w:hAnsi="Times New Roman" w:eastAsia="方正仿宋_GBK"/>
          <w:color w:val="000000"/>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lang w:val="en-US" w:eastAsia="zh-CN"/>
        </w:rPr>
        <w:t>4</w:t>
      </w:r>
      <w:r>
        <w:rPr>
          <w:rFonts w:hint="eastAsia" w:ascii="Times New Roman" w:hAnsi="Times New Roman" w:eastAsia="方正仿宋_GBK" w:cs="Times New Roman"/>
          <w:color w:val="000000"/>
          <w:sz w:val="32"/>
          <w:szCs w:val="32"/>
          <w:highlight w:val="none"/>
        </w:rPr>
        <w:t>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三</w:t>
      </w:r>
      <w:r>
        <w:rPr>
          <w:rFonts w:hint="default" w:ascii="Times New Roman" w:hAnsi="Times New Roman" w:eastAsia="方正仿宋_GBK" w:cs="Times New Roman"/>
          <w:b/>
          <w:bCs/>
          <w:color w:val="000000"/>
          <w:sz w:val="32"/>
          <w:szCs w:val="32"/>
          <w:highlight w:val="none"/>
          <w:lang w:val="en-US" w:eastAsia="zh-CN"/>
        </w:rPr>
        <w:t>：“人工智能+绿色能源”</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深化人工智能在能源建设、调度、算电协同等场景的应用，优化电源电网布局与智能建造。推动“人工智能+风光水储”一体化协同，强化风光功率预测、风光电站智能运维、水电优化调度、灵活性资源调控与智能电网管理，推动绿色能源、节能降碳等多领域数据汇聚、处理、分析和融合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四</w:t>
      </w:r>
      <w:r>
        <w:rPr>
          <w:rFonts w:hint="default" w:ascii="Times New Roman" w:hAnsi="Times New Roman" w:eastAsia="方正仿宋_GBK" w:cs="Times New Roman"/>
          <w:b/>
          <w:bCs/>
          <w:color w:val="000000"/>
          <w:sz w:val="32"/>
          <w:szCs w:val="32"/>
          <w:highlight w:val="none"/>
          <w:lang w:val="en-US" w:eastAsia="zh-CN"/>
        </w:rPr>
        <w:t>：“人工智能+交通物流”</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运用人工智能赋能智慧物流、智能交通、低空经济等场景应用。推进货运寄递数据、运单数据、结算数据等共享互认，探索发展智慧仓储物流业，提升多式联运效能。加强综合交通各领域垂直大模型在规划设计、智能管养、运行监测、减灾防灾、应急安全、管理决策等方面的研发和应用，加快实施交通运输典型场景及综合交通运输大模型研发，加强交通智能体和智能终端应用。培育“人工智能+低空经济”产业业态，服务短途货运和应急物流；开展智能网联汽车基础设施数智化关键技术研究，推进城市智能网联汽车基础设施建设及示范应用；开展复杂场景下无人智慧物流运营、安全监管等关键技术研究，形成多典型场景的运营测试与应用示范。</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bookmarkStart w:id="14" w:name="_Toc20452"/>
      <w:r>
        <w:rPr>
          <w:rFonts w:hint="default" w:ascii="Times New Roman" w:hAnsi="Times New Roman" w:eastAsia="方正仿宋_GBK" w:cs="Times New Roman"/>
          <w:b/>
          <w:bCs/>
          <w:color w:val="000000"/>
          <w:sz w:val="32"/>
          <w:szCs w:val="32"/>
          <w:highlight w:val="none"/>
          <w:lang w:val="en-US" w:eastAsia="zh-CN"/>
        </w:rPr>
        <w:t>方向</w:t>
      </w:r>
      <w:r>
        <w:rPr>
          <w:rFonts w:hint="eastAsia" w:ascii="Times New Roman" w:hAnsi="Times New Roman" w:eastAsia="方正仿宋_GBK" w:cs="Times New Roman"/>
          <w:b/>
          <w:bCs/>
          <w:color w:val="000000"/>
          <w:sz w:val="32"/>
          <w:szCs w:val="32"/>
          <w:highlight w:val="none"/>
          <w:lang w:val="en-US" w:eastAsia="zh-CN"/>
        </w:rPr>
        <w:t>五</w:t>
      </w:r>
      <w:r>
        <w:rPr>
          <w:rFonts w:hint="default" w:ascii="Times New Roman" w:hAnsi="Times New Roman" w:eastAsia="方正仿宋_GBK" w:cs="Times New Roman"/>
          <w:b/>
          <w:bCs/>
          <w:color w:val="000000"/>
          <w:sz w:val="32"/>
          <w:szCs w:val="32"/>
          <w:highlight w:val="none"/>
          <w:lang w:val="en-US" w:eastAsia="zh-CN"/>
        </w:rPr>
        <w:t>：人工智能核心技术研究</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研发适配人工智能大模型的异构计算融合技术，突破国产智算基础设施软硬件协同优化、能效评价体系及绿色低碳算力调度关键算法，构建高效、绿色、安全的算力底座；研究面向多模态大模型的数据语义对齐、标注、合成、增强、评测等技术，建设开源高质量多模态数据库与知识库，同时研发高保真、高并发、强物理一致性的智能仿真引擎与世界模型；探索多模态统一表征与对齐技术，研发参数规模适度、性能优异的通用大模型底座，支持面向典型应用场景的适应性优化，建立高精度、可解释且不依赖大量标注数据的新型算法库，突破大规模预训练模型的压缩、微调与高效部署技术；构建以大模型为核心的自主智能系统，研究智能体多任务分解、长程规划、提示词工程与自主决策调优技术，探索具身智能感知、决策与执行一体化核心技术；支持面向应用需求，开发智能体；基于商用密码与抗量子密码的人工智能安全防护体系研发与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实现示范化应用，</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sz w:val="32"/>
          <w:szCs w:val="32"/>
          <w:highlight w:val="none"/>
          <w:lang w:val="en-US" w:eastAsia="zh-CN"/>
        </w:rPr>
        <w:t>2</w:t>
      </w:r>
      <w:r>
        <w:rPr>
          <w:rFonts w:hint="eastAsia" w:ascii="Times New Roman" w:hAnsi="Times New Roman" w:eastAsia="方正仿宋_GBK" w:cs="Times New Roman"/>
          <w:color w:val="000000"/>
          <w:sz w:val="32"/>
          <w:szCs w:val="32"/>
          <w:highlight w:val="none"/>
        </w:rPr>
        <w:t>项，</w:t>
      </w:r>
      <w:r>
        <w:rPr>
          <w:rFonts w:ascii="Times New Roman" w:hAnsi="Times New Roman" w:eastAsia="方正仿宋_GBK" w:cs="Times New Roman"/>
          <w:color w:val="000000"/>
          <w:sz w:val="32"/>
          <w:szCs w:val="32"/>
          <w:highlight w:val="none"/>
        </w:rPr>
        <w:t>单个项目资助经费原则上不超过</w:t>
      </w:r>
      <w:r>
        <w:rPr>
          <w:rFonts w:hint="eastAsia" w:ascii="Times New Roman" w:hAnsi="Times New Roman" w:eastAsia="方正仿宋_GBK" w:cs="Times New Roman"/>
          <w:color w:val="000000"/>
          <w:sz w:val="32"/>
          <w:szCs w:val="32"/>
          <w:highlight w:val="none"/>
          <w:lang w:val="en-US" w:eastAsia="zh-CN"/>
        </w:rPr>
        <w:t>6</w:t>
      </w:r>
      <w:r>
        <w:rPr>
          <w:rFonts w:ascii="Times New Roman" w:hAnsi="Times New Roman" w:eastAsia="方正仿宋_GBK" w:cs="Times New Roman"/>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13.氢能及新型储能</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方向一：绿氢关键技术研发与应用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bCs/>
          <w:color w:val="000000"/>
          <w:spacing w:val="8"/>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bCs/>
          <w:color w:val="000000"/>
          <w:spacing w:val="8"/>
          <w:sz w:val="32"/>
          <w:szCs w:val="32"/>
          <w:highlight w:val="none"/>
        </w:rPr>
        <w:t>新能源制氢、绿氢制备技术、绿氢化工应用技术、电解水制氢非贵金属催化剂及双极板制备技术、氢燃料电池关键材料及器件的集成应用技术、高密度储氢材料制备技术及储氢工艺、氢能中长时储能技术、绿氢“制-储-运-用”与多场景协同应用技术及全产业链模块化装备。风电/光伏弃电消纳的高比例可再生能源波动性适配技术，弃电消纳的绿氢“源—网—荷—储—用”全流程动态仿真与协同优化及控制技术，完成多能互补制氢工艺及离网型模块化装备成套技术；开发适应宽功率波动（10%</w:t>
      </w:r>
      <w:r>
        <w:rPr>
          <w:rFonts w:hint="eastAsia" w:ascii="Times New Roman" w:hAnsi="Times New Roman" w:eastAsia="方正仿宋_GBK"/>
          <w:bCs/>
          <w:color w:val="000000"/>
          <w:spacing w:val="8"/>
          <w:sz w:val="32"/>
          <w:szCs w:val="32"/>
          <w:highlight w:val="none"/>
          <w:lang w:eastAsia="zh-CN"/>
        </w:rPr>
        <w:t>—</w:t>
      </w:r>
      <w:r>
        <w:rPr>
          <w:rFonts w:ascii="Times New Roman" w:hAnsi="Times New Roman" w:eastAsia="方正仿宋_GBK"/>
          <w:bCs/>
          <w:color w:val="000000"/>
          <w:spacing w:val="8"/>
          <w:sz w:val="32"/>
          <w:szCs w:val="32"/>
          <w:highlight w:val="none"/>
        </w:rPr>
        <w:t>110%）的电解水制氢系统，解决低负荷工况下的安全稳定运行及快速启停工程应用。</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bCs/>
          <w:color w:val="000000"/>
          <w:spacing w:val="6"/>
          <w:w w:val="98"/>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hint="eastAsia" w:ascii="Times New Roman" w:hAnsi="Times New Roman" w:eastAsia="方正仿宋_GBK"/>
          <w:bCs/>
          <w:color w:val="000000"/>
          <w:sz w:val="32"/>
          <w:szCs w:val="32"/>
          <w:highlight w:val="none"/>
          <w:lang w:val="en-US" w:eastAsia="zh-CN"/>
        </w:rPr>
        <w:t>产品与</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bCs/>
          <w:color w:val="000000"/>
          <w:spacing w:val="8"/>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s="Times New Roman"/>
          <w:color w:val="000000"/>
          <w:kern w:val="2"/>
          <w:sz w:val="32"/>
          <w:szCs w:val="32"/>
          <w:highlight w:val="none"/>
          <w:lang w:val="en-US" w:eastAsia="zh-CN" w:bidi="ar-SA"/>
        </w:rPr>
        <w:t>4项，</w:t>
      </w:r>
      <w:r>
        <w:rPr>
          <w:rFonts w:ascii="Times New Roman" w:hAnsi="Times New Roman" w:eastAsia="方正仿宋_GBK" w:cs="Times New Roman"/>
          <w:color w:val="000000"/>
          <w:kern w:val="2"/>
          <w:sz w:val="32"/>
          <w:szCs w:val="32"/>
          <w:highlight w:val="none"/>
          <w:lang w:val="en-US" w:eastAsia="zh-CN" w:bidi="ar-SA"/>
        </w:rPr>
        <w:t>单</w:t>
      </w:r>
      <w:r>
        <w:rPr>
          <w:rFonts w:ascii="Times New Roman" w:hAnsi="Times New Roman" w:eastAsia="方正仿宋_GBK"/>
          <w:color w:val="000000"/>
          <w:sz w:val="32"/>
          <w:szCs w:val="32"/>
          <w:highlight w:val="none"/>
        </w:rPr>
        <w:t>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pacing w:val="8"/>
          <w:sz w:val="32"/>
          <w:szCs w:val="32"/>
          <w:highlight w:val="none"/>
        </w:rPr>
        <w:t>。</w:t>
      </w:r>
    </w:p>
    <w:p>
      <w:pPr>
        <w:pStyle w:val="7"/>
        <w:keepNext w:val="0"/>
        <w:keepLines w:val="0"/>
        <w:pageBreakBefore w:val="0"/>
        <w:kinsoku/>
        <w:wordWrap/>
        <w:overflowPunct/>
        <w:autoSpaceDN/>
        <w:bidi w:val="0"/>
        <w:spacing w:after="0" w:line="560" w:lineRule="exact"/>
        <w:ind w:left="0" w:leftChars="0" w:firstLine="640"/>
        <w:textAlignment w:val="auto"/>
        <w:rPr>
          <w:rFonts w:hint="default" w:ascii="Times New Roman" w:hAnsi="Times New Roman" w:eastAsia="方正仿宋_GBK" w:cs="Times New Roman"/>
          <w:b/>
          <w:bCs/>
          <w:color w:val="000000"/>
          <w:kern w:val="2"/>
          <w:sz w:val="32"/>
          <w:szCs w:val="32"/>
          <w:highlight w:val="none"/>
          <w:lang w:val="en-US" w:eastAsia="zh-CN" w:bidi="ar-SA"/>
        </w:rPr>
      </w:pPr>
      <w:r>
        <w:rPr>
          <w:rFonts w:hint="default" w:ascii="Times New Roman" w:hAnsi="Times New Roman" w:eastAsia="方正仿宋_GBK" w:cs="Times New Roman"/>
          <w:b/>
          <w:bCs/>
          <w:color w:val="000000"/>
          <w:kern w:val="2"/>
          <w:sz w:val="32"/>
          <w:szCs w:val="32"/>
          <w:highlight w:val="none"/>
          <w:lang w:val="en-US" w:eastAsia="zh-CN" w:bidi="ar-SA"/>
        </w:rPr>
        <w:t>方向二：新型储能关键技术研发与应用</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bCs/>
          <w:color w:val="000000"/>
          <w:spacing w:val="8"/>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主要支持内容：</w:t>
      </w:r>
      <w:r>
        <w:rPr>
          <w:rFonts w:ascii="Times New Roman" w:hAnsi="Times New Roman" w:eastAsia="方正仿宋_GBK"/>
          <w:bCs/>
          <w:color w:val="000000"/>
          <w:spacing w:val="8"/>
          <w:sz w:val="32"/>
          <w:szCs w:val="32"/>
          <w:highlight w:val="none"/>
        </w:rPr>
        <w:t>电化学储能、抽水蓄能、压缩空气储能、储热式储能、热泵储能、电网侧中长时储能、虚拟电厂、储能安全及其他新型储能关键技术研发与应用。</w:t>
      </w:r>
    </w:p>
    <w:p>
      <w:pPr>
        <w:pStyle w:val="7"/>
        <w:keepNext w:val="0"/>
        <w:keepLines w:val="0"/>
        <w:pageBreakBefore w:val="0"/>
        <w:kinsoku/>
        <w:wordWrap/>
        <w:overflowPunct/>
        <w:autoSpaceDN/>
        <w:bidi w:val="0"/>
        <w:spacing w:after="0" w:line="560" w:lineRule="exact"/>
        <w:ind w:left="0" w:leftChars="0" w:firstLine="640"/>
        <w:textAlignment w:val="auto"/>
        <w:rPr>
          <w:rFonts w:ascii="Times New Roman" w:hAnsi="Times New Roman" w:eastAsia="方正仿宋_GBK"/>
          <w:bCs/>
          <w:color w:val="000000"/>
          <w:spacing w:val="8"/>
          <w:sz w:val="32"/>
          <w:szCs w:val="32"/>
          <w:highlight w:val="none"/>
        </w:rPr>
      </w:pPr>
      <w:r>
        <w:rPr>
          <w:rFonts w:hint="default" w:ascii="Times New Roman" w:hAnsi="Times New Roman" w:eastAsia="方正仿宋_GBK" w:cs="Times New Roman"/>
          <w:b/>
          <w:bCs/>
          <w:color w:val="000000"/>
          <w:kern w:val="2"/>
          <w:sz w:val="32"/>
          <w:szCs w:val="32"/>
          <w:highlight w:val="none"/>
          <w:lang w:val="en-US" w:eastAsia="zh-CN" w:bidi="ar-SA"/>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楷体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4项，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r>
        <w:rPr>
          <w:rFonts w:ascii="Times New Roman" w:hAnsi="Times New Roman" w:eastAsia="方正仿宋_GBK"/>
          <w:bCs/>
          <w:color w:val="000000"/>
          <w:spacing w:val="8"/>
          <w:sz w:val="32"/>
          <w:szCs w:val="32"/>
          <w:highlight w:val="none"/>
        </w:rPr>
        <w:t>。</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14.卫星应用</w:t>
      </w:r>
      <w:bookmarkEnd w:id="14"/>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方向一：资源环境生态要素多源遥感智能感知关键技术及创新应用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研究多源异构遥感数据标准化治理与共享服务、自动几何精纠正、多时相光谱与辐射一致性对齐等关键技术；重点开展传感成像过程不确定性影响、遥感定量反演和可视化增强制图等技术研究，突破基于国产卫星载荷与自主算法框架的GeoAI智能感知、光谱与辐射微变化特征提取与亚像元增强等关键技术；推进多源遥感数据资源池、资源环境生态要素遥感高精度反演、遥感大数据云平台等数据基础设施建设，研发卫星遥感智能处理平台、WebGIS+APP应用服务系统，构建覆盖全域、高频智能、自主可控的卫星数据获取能力，形成“天空地”协同监测解决方案，推动资源环境生态监测模式从“变化发现”向“智能预警”升级，研究“数据获取、智能处理、场景应用、服务输出”的全链条服务体系。面向农业、生态、应急、水利、自然资源、交通等行业开展示范应用并实现业务化运行。</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方向二：应急通信保障关键技术及创新应用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聚焦空天地一体化应急通信与全域保障，重点研究应急临战状态下动态网络部署与灵活调整、宽窄带融合通信、卫星与地面网络融合等关键技术；突破高原山区极端条件下信号的可靠传输与位置服务、卫星异构扩展通信、应急信息萃取、现场与指挥部信息实时同步等关键技术，实现覆盖宽窄带、空间立体、手段多元化的全域应急通信保障；研究基于国密算法的数据安全加密技术，解决应急通信保障的全链路数据防篡改与身份认证痛点问题，推进防灾减灾救灾数据安全可控化、应急通信保障自主可信化。围绕政务、电力、交通、林业、应急管理等在应急通信保障领域的需求开展示范应用，形成全域应急通信保障技术体系。</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kern w:val="0"/>
          <w:sz w:val="32"/>
          <w:szCs w:val="32"/>
          <w:highlight w:val="none"/>
          <w:lang w:bidi="zh-CN"/>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方向三：北斗星地协同一体化服务与实时监测关键技术及创新应用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ascii="Times New Roman" w:hAnsi="Times New Roman" w:eastAsia="方正仿宋_GBK"/>
          <w:color w:val="000000"/>
          <w:sz w:val="32"/>
          <w:szCs w:val="32"/>
          <w:highlight w:val="none"/>
        </w:rPr>
        <w:t>聚焦低纬度高原地区复杂空间环境下北斗星地协同环境感知与精密定位能力提升，构建以北斗为核心的自主可控高精度时空信息服务体系，重点研究星地一体化感知与融合处理技术，实现复杂地理与空间环境下的精准可靠感知和定位增强。研究低纬度高原复杂空间环境智能感知、北斗卫星端与用户端高精度实时产品解算、大规模实时毫米级北斗统一高精度解算以及融合广播通讯的北斗地基增强数据播发等关键技术，推进全天候、全空间、高精度的北斗时空信息服务自主可控。构建一体化北斗时空基准服务与实时监测体系，形成稳定可靠、安全自主的高精度定位能力，并面向地质灾害预警、重大设施形变监测、口岸经济建设与低空飞行保障等典型场景开展示范应用。</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主要考核方向与内容：</w:t>
      </w:r>
      <w:r>
        <w:rPr>
          <w:rFonts w:ascii="Times New Roman" w:hAnsi="Times New Roman" w:eastAsia="方正仿宋_GBK"/>
          <w:bCs/>
          <w:color w:val="000000"/>
          <w:sz w:val="32"/>
          <w:szCs w:val="32"/>
          <w:highlight w:val="none"/>
        </w:rPr>
        <w:t>技术指标达到或优于国内先进指标</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解决关键核心技术≥1项</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color w:val="000000"/>
          <w:sz w:val="32"/>
          <w:szCs w:val="32"/>
          <w:highlight w:val="none"/>
        </w:rPr>
        <w:t>形成一批知识产权</w:t>
      </w:r>
      <w:r>
        <w:rPr>
          <w:rFonts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实现工程示范化应用或建立示范基地，</w:t>
      </w:r>
      <w:r>
        <w:rPr>
          <w:rFonts w:ascii="Times New Roman" w:hAnsi="Times New Roman" w:eastAsia="方正仿宋_GBK"/>
          <w:bCs/>
          <w:color w:val="000000"/>
          <w:sz w:val="32"/>
          <w:szCs w:val="32"/>
          <w:highlight w:val="none"/>
        </w:rPr>
        <w:t>具有</w:t>
      </w:r>
      <w:r>
        <w:rPr>
          <w:rFonts w:ascii="Times New Roman" w:hAnsi="Times New Roman" w:eastAsia="方正仿宋_GBK"/>
          <w:color w:val="000000"/>
          <w:kern w:val="0"/>
          <w:sz w:val="32"/>
          <w:szCs w:val="32"/>
          <w:highlight w:val="none"/>
        </w:rPr>
        <w:t>良好的经济和社会效益。</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rPr>
        <w:t>2项，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（四）其他支持方式</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15.重大工程建设关键技术攻关</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bookmarkStart w:id="15" w:name="_Hlk194066931"/>
      <w:r>
        <w:rPr>
          <w:rFonts w:hint="default" w:ascii="Times New Roman" w:hAnsi="Times New Roman" w:eastAsia="方正仿宋_GBK" w:cs="Times New Roman"/>
          <w:b/>
          <w:bCs/>
          <w:color w:val="000000"/>
          <w:sz w:val="32"/>
          <w:szCs w:val="32"/>
          <w:highlight w:val="none"/>
          <w:lang w:val="en-US" w:eastAsia="zh-CN"/>
        </w:rPr>
        <w:t>主要支持内容：</w:t>
      </w:r>
      <w:bookmarkEnd w:id="15"/>
      <w:r>
        <w:rPr>
          <w:rFonts w:ascii="Times New Roman" w:hAnsi="Times New Roman" w:eastAsia="方正仿宋_GBK"/>
          <w:color w:val="000000"/>
          <w:sz w:val="32"/>
          <w:szCs w:val="32"/>
          <w:highlight w:val="none"/>
        </w:rPr>
        <w:t>围绕交通、水利、水电等领域的重大工程建设，开展勘察、设计、施工等关键技术攻关，解决重大工程建设中的技术难点、卡点问题。</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申报条件及要求：</w:t>
      </w:r>
      <w:r>
        <w:rPr>
          <w:rFonts w:ascii="Times New Roman" w:hAnsi="Times New Roman" w:eastAsia="方正仿宋_GBK"/>
          <w:color w:val="000000"/>
          <w:sz w:val="32"/>
          <w:szCs w:val="32"/>
          <w:highlight w:val="none"/>
        </w:rPr>
        <w:t>符合云南经济社会发展要求，服务于重大工程建设，采取“一事一议”方式进行。</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eastAsia" w:ascii="Times New Roman" w:hAnsi="Times New Roman" w:eastAsia="方正仿宋_GBK" w:cs="Times New Roman"/>
          <w:b/>
          <w:bCs/>
          <w:color w:val="000000"/>
          <w:sz w:val="32"/>
          <w:szCs w:val="32"/>
          <w:highlight w:val="none"/>
          <w:lang w:val="en-US" w:eastAsia="zh-CN"/>
        </w:rPr>
        <w:t>16</w:t>
      </w:r>
      <w:r>
        <w:rPr>
          <w:rFonts w:hint="default" w:ascii="Times New Roman" w:hAnsi="Times New Roman" w:eastAsia="方正仿宋_GBK" w:cs="Times New Roman"/>
          <w:b/>
          <w:bCs/>
          <w:color w:val="000000"/>
          <w:sz w:val="32"/>
          <w:szCs w:val="32"/>
          <w:highlight w:val="none"/>
          <w:lang w:val="en-US" w:eastAsia="zh-CN"/>
        </w:rPr>
        <w:t>.科技成果落地转化</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sz w:val="32"/>
          <w:szCs w:val="32"/>
          <w:highlight w:val="none"/>
        </w:rPr>
      </w:pPr>
      <w:r>
        <w:rPr>
          <w:rFonts w:hint="default" w:ascii="Times New Roman" w:hAnsi="Times New Roman" w:eastAsia="方正仿宋_GBK" w:cs="Times New Roman"/>
          <w:b/>
          <w:bCs/>
          <w:color w:val="000000"/>
          <w:sz w:val="32"/>
          <w:szCs w:val="32"/>
          <w:highlight w:val="none"/>
          <w:lang w:val="en-US" w:eastAsia="zh-CN"/>
        </w:rPr>
        <w:t>主要支持内容：</w:t>
      </w:r>
      <w:r>
        <w:rPr>
          <w:rFonts w:hint="eastAsia" w:ascii="Times New Roman" w:hAnsi="Times New Roman" w:eastAsia="方正仿宋_GBK"/>
          <w:color w:val="000000"/>
          <w:sz w:val="32"/>
          <w:szCs w:val="32"/>
          <w:highlight w:val="none"/>
        </w:rPr>
        <w:t>围绕绿色铝、硅光伏、磷化工、有色金属、稀贵金属、绿色能源、现代物流、新材料、先进装备制造、数字经济、人工智能、低空经济等12个云南省重点产业，对已有科技成果进行后续试验、开发、应用、推广，形成新技术、新工艺、新材料、新产品，并实施产业化。优先支持技术成熟度高、产业化潜力大、市场前景广阔的科技成果转化项目。</w:t>
      </w:r>
    </w:p>
    <w:p>
      <w:pPr>
        <w:keepNext w:val="0"/>
        <w:keepLines w:val="0"/>
        <w:pageBreakBefore w:val="0"/>
        <w:kinsoku/>
        <w:wordWrap/>
        <w:overflowPunct/>
        <w:autoSpaceDN/>
        <w:bidi w:val="0"/>
        <w:spacing w:line="560" w:lineRule="exact"/>
        <w:ind w:firstLine="642" w:firstLineChars="200"/>
        <w:textAlignment w:val="auto"/>
        <w:rPr>
          <w:rFonts w:hint="default" w:ascii="Times New Roman" w:hAnsi="Times New Roman" w:eastAsia="方正仿宋_GBK" w:cs="Times New Roman"/>
          <w:b/>
          <w:bCs/>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主要考核方向与内容：</w:t>
      </w:r>
    </w:p>
    <w:p>
      <w:pPr>
        <w:keepNext w:val="0"/>
        <w:keepLines w:val="0"/>
        <w:pageBreakBefore w:val="0"/>
        <w:kinsoku/>
        <w:wordWrap/>
        <w:overflowPunct/>
        <w:autoSpaceDN/>
        <w:bidi w:val="0"/>
        <w:spacing w:line="560" w:lineRule="exact"/>
        <w:ind w:firstLine="640" w:firstLineChars="200"/>
        <w:textAlignment w:val="auto"/>
        <w:rPr>
          <w:rFonts w:hint="eastAsia" w:ascii="Times New Roman" w:hAnsi="Times New Roman" w:eastAsia="方正仿宋_GBK"/>
          <w:bCs/>
          <w:color w:val="000000"/>
          <w:sz w:val="32"/>
          <w:szCs w:val="32"/>
          <w:highlight w:val="none"/>
        </w:rPr>
      </w:pPr>
      <w:r>
        <w:rPr>
          <w:rFonts w:hint="eastAsia"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1</w:t>
      </w:r>
      <w:r>
        <w:rPr>
          <w:rFonts w:hint="eastAsia" w:ascii="Times New Roman" w:hAnsi="Times New Roman" w:eastAsia="方正仿宋_GBK"/>
          <w:bCs/>
          <w:color w:val="000000"/>
          <w:sz w:val="32"/>
          <w:szCs w:val="32"/>
          <w:highlight w:val="none"/>
        </w:rPr>
        <w:t>）科技成果质量高。创新性突出：所转化科技成果可解决行业痛点、难点，具备自主创新、替代进口、解决“卡脖子”问题等优势；技术方案、产品工艺、应用模式具有新颖性和先进性。技术成熟度高：所转化科技成果已完成实验室研发、小试试验，已进入中试试制、样品验证、小规模示范应用阶段，且核心技术指标稳定、产品合格率高、技术可靠安全。成果资料完备：申报的成果转化项目具备完整的技术研发资料、试验报告、检测认证报告、用户试用评价、技术工艺规程等全套支撑材料，技术体系完整、可落地、可复制。</w:t>
      </w:r>
    </w:p>
    <w:p>
      <w:pPr>
        <w:keepNext w:val="0"/>
        <w:keepLines w:val="0"/>
        <w:pageBreakBefore w:val="0"/>
        <w:kinsoku/>
        <w:wordWrap/>
        <w:overflowPunct/>
        <w:autoSpaceDN/>
        <w:bidi w:val="0"/>
        <w:spacing w:line="560" w:lineRule="exact"/>
        <w:ind w:firstLine="640" w:firstLineChars="200"/>
        <w:textAlignment w:val="auto"/>
        <w:rPr>
          <w:rFonts w:hint="eastAsia" w:ascii="Times New Roman" w:hAnsi="Times New Roman" w:eastAsia="方正仿宋_GBK"/>
          <w:bCs/>
          <w:color w:val="000000"/>
          <w:sz w:val="32"/>
          <w:szCs w:val="32"/>
          <w:highlight w:val="none"/>
        </w:rPr>
      </w:pPr>
      <w:r>
        <w:rPr>
          <w:rFonts w:hint="eastAsia"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2</w:t>
      </w:r>
      <w:r>
        <w:rPr>
          <w:rFonts w:hint="eastAsia" w:ascii="Times New Roman" w:hAnsi="Times New Roman" w:eastAsia="方正仿宋_GBK"/>
          <w:bCs/>
          <w:color w:val="000000"/>
          <w:sz w:val="32"/>
          <w:szCs w:val="32"/>
          <w:highlight w:val="none"/>
        </w:rPr>
        <w:t>）转化实施条件有保障。落地实施条件好：承接成果转化单位拥有较好的生产场地、设备设施、生产线配套、技术团队、运营管理经验，具备承接成果转化、规模化生产及市场推广的基础条件。转化方案可行：项目转化方式可行、转化路径清晰、实施步骤明确、年度进度计划可量化。团队保障有力：拥有稳定的核心技术研发及产业化实施团队，具备相关行业从业经验与项目实施能力。</w:t>
      </w:r>
    </w:p>
    <w:p>
      <w:pPr>
        <w:keepNext w:val="0"/>
        <w:keepLines w:val="0"/>
        <w:pageBreakBefore w:val="0"/>
        <w:kinsoku/>
        <w:wordWrap/>
        <w:overflowPunct/>
        <w:autoSpaceDN/>
        <w:bidi w:val="0"/>
        <w:spacing w:line="560" w:lineRule="exact"/>
        <w:ind w:firstLine="640" w:firstLineChars="200"/>
        <w:textAlignment w:val="auto"/>
        <w:rPr>
          <w:rFonts w:hint="eastAsia" w:ascii="Times New Roman" w:hAnsi="Times New Roman" w:eastAsia="方正仿宋_GBK"/>
          <w:bCs/>
          <w:color w:val="000000"/>
          <w:sz w:val="32"/>
          <w:szCs w:val="32"/>
          <w:highlight w:val="none"/>
        </w:rPr>
      </w:pPr>
      <w:r>
        <w:rPr>
          <w:rFonts w:hint="eastAsia"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3</w:t>
      </w:r>
      <w:r>
        <w:rPr>
          <w:rFonts w:hint="eastAsia" w:ascii="Times New Roman" w:hAnsi="Times New Roman" w:eastAsia="方正仿宋_GBK"/>
          <w:bCs/>
          <w:color w:val="000000"/>
          <w:sz w:val="32"/>
          <w:szCs w:val="32"/>
          <w:highlight w:val="none"/>
        </w:rPr>
        <w:t>）预期经济社会效益良好。重点评价项目实施周期内，新增销售收入、利税、市场占有率、降本增效、产能提升等量化指标；项目对完善产业生态、培育新业态、推动传统产业转型升级、壮大新兴产业、带动上下游产业链的作用；项目在节能降碳、绿色环保、安全生产、公共服务、民生改善、就业带动、标准形成等方面的示范引领作用。</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仿宋_GBK"/>
          <w:color w:val="000000"/>
          <w:kern w:val="0"/>
          <w:sz w:val="32"/>
          <w:szCs w:val="32"/>
          <w:highlight w:val="none"/>
        </w:rPr>
      </w:pPr>
      <w:r>
        <w:rPr>
          <w:rFonts w:hint="eastAsia" w:ascii="Times New Roman" w:hAnsi="Times New Roman" w:eastAsia="方正仿宋_GBK"/>
          <w:bCs/>
          <w:color w:val="000000"/>
          <w:sz w:val="32"/>
          <w:szCs w:val="32"/>
          <w:highlight w:val="none"/>
        </w:rPr>
        <w:t>（</w:t>
      </w:r>
      <w:r>
        <w:rPr>
          <w:rFonts w:hint="eastAsia" w:ascii="Times New Roman" w:hAnsi="Times New Roman" w:eastAsia="方正仿宋_GBK"/>
          <w:bCs/>
          <w:color w:val="000000"/>
          <w:sz w:val="32"/>
          <w:szCs w:val="32"/>
          <w:highlight w:val="none"/>
          <w:lang w:val="en-US" w:eastAsia="zh-CN"/>
        </w:rPr>
        <w:t>4</w:t>
      </w:r>
      <w:r>
        <w:rPr>
          <w:rFonts w:hint="eastAsia" w:ascii="Times New Roman" w:hAnsi="Times New Roman" w:eastAsia="方正仿宋_GBK"/>
          <w:bCs/>
          <w:color w:val="000000"/>
          <w:sz w:val="32"/>
          <w:szCs w:val="32"/>
          <w:highlight w:val="none"/>
        </w:rPr>
        <w:t>）知识产权清晰合规：所转化成果权属清晰、无争议，拥有合法有效的自主知识产权，无侵权、盗用、共有纠纷等问题。项目符合国家产业政策、环保政策、安全生产规定，不属于限制类、淘汰类产业范畴。</w:t>
      </w:r>
    </w:p>
    <w:p>
      <w:pPr>
        <w:keepNext w:val="0"/>
        <w:keepLines w:val="0"/>
        <w:pageBreakBefore w:val="0"/>
        <w:kinsoku/>
        <w:wordWrap/>
        <w:overflowPunct/>
        <w:autoSpaceDN/>
        <w:bidi w:val="0"/>
        <w:spacing w:line="560" w:lineRule="exact"/>
        <w:ind w:firstLine="642" w:firstLineChars="200"/>
        <w:textAlignment w:val="auto"/>
        <w:rPr>
          <w:rFonts w:ascii="Times New Roman" w:hAnsi="Times New Roman" w:eastAsia="方正仿宋_GBK"/>
          <w:color w:val="000000"/>
          <w:sz w:val="32"/>
          <w:szCs w:val="32"/>
          <w:highlight w:val="none"/>
        </w:rPr>
      </w:pPr>
      <w:r>
        <w:rPr>
          <w:rFonts w:hint="default" w:ascii="Times New Roman" w:hAnsi="Times New Roman" w:eastAsia="方正仿宋_GBK" w:cs="Times New Roman"/>
          <w:b/>
          <w:bCs/>
          <w:color w:val="000000"/>
          <w:sz w:val="32"/>
          <w:szCs w:val="32"/>
          <w:highlight w:val="none"/>
          <w:lang w:val="en-US" w:eastAsia="zh-CN"/>
        </w:rPr>
        <w:t>支持强度：</w:t>
      </w:r>
      <w:r>
        <w:rPr>
          <w:rFonts w:hint="eastAsia" w:ascii="Times New Roman" w:hAnsi="Times New Roman" w:eastAsia="方正仿宋_GBK"/>
          <w:color w:val="000000"/>
          <w:sz w:val="32"/>
          <w:szCs w:val="32"/>
          <w:highlight w:val="none"/>
        </w:rPr>
        <w:t>拟支持项目</w:t>
      </w:r>
      <w:r>
        <w:rPr>
          <w:rFonts w:hint="eastAsia" w:ascii="Times New Roman" w:hAnsi="Times New Roman" w:eastAsia="方正仿宋_GBK"/>
          <w:color w:val="000000"/>
          <w:sz w:val="32"/>
          <w:szCs w:val="32"/>
          <w:highlight w:val="none"/>
          <w:lang w:val="en-US" w:eastAsia="zh-CN"/>
        </w:rPr>
        <w:t>数</w:t>
      </w:r>
      <w:r>
        <w:rPr>
          <w:rFonts w:ascii="Times New Roman" w:hAnsi="Times New Roman" w:eastAsia="方正仿宋_GBK"/>
          <w:color w:val="000000"/>
          <w:sz w:val="32"/>
          <w:szCs w:val="32"/>
          <w:highlight w:val="none"/>
        </w:rPr>
        <w:t>原则上不超过</w:t>
      </w:r>
      <w:r>
        <w:rPr>
          <w:rFonts w:hint="eastAsia" w:ascii="Times New Roman" w:hAnsi="Times New Roman" w:eastAsia="方正仿宋_GBK"/>
          <w:color w:val="000000"/>
          <w:sz w:val="32"/>
          <w:szCs w:val="32"/>
          <w:highlight w:val="none"/>
          <w:lang w:val="en-US" w:eastAsia="zh-CN"/>
        </w:rPr>
        <w:t>2</w:t>
      </w:r>
      <w:r>
        <w:rPr>
          <w:rFonts w:hint="eastAsia" w:ascii="Times New Roman" w:hAnsi="Times New Roman" w:eastAsia="方正仿宋_GBK"/>
          <w:color w:val="000000"/>
          <w:sz w:val="32"/>
          <w:szCs w:val="32"/>
          <w:highlight w:val="none"/>
        </w:rPr>
        <w:t>0项，</w:t>
      </w:r>
      <w:r>
        <w:rPr>
          <w:rFonts w:ascii="Times New Roman" w:hAnsi="Times New Roman" w:eastAsia="方正仿宋_GBK"/>
          <w:color w:val="000000"/>
          <w:sz w:val="32"/>
          <w:szCs w:val="32"/>
          <w:highlight w:val="none"/>
        </w:rPr>
        <w:t>单个项目资助经费原则上不超过</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00万元。</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黑体_GBK"/>
          <w:color w:val="000000"/>
          <w:sz w:val="32"/>
          <w:szCs w:val="32"/>
          <w:highlight w:val="none"/>
        </w:rPr>
      </w:pPr>
      <w:r>
        <w:rPr>
          <w:rFonts w:ascii="Times New Roman" w:hAnsi="Times New Roman" w:eastAsia="方正黑体_GBK"/>
          <w:color w:val="000000"/>
          <w:sz w:val="32"/>
          <w:szCs w:val="32"/>
          <w:highlight w:val="none"/>
        </w:rPr>
        <w:t>四、填报材料注意事项</w:t>
      </w:r>
    </w:p>
    <w:p>
      <w:pPr>
        <w:keepNext w:val="0"/>
        <w:keepLines w:val="0"/>
        <w:pageBreakBefore w:val="0"/>
        <w:widowControl/>
        <w:kinsoku/>
        <w:wordWrap/>
        <w:overflowPunct/>
        <w:autoSpaceDN/>
        <w:bidi w:val="0"/>
        <w:snapToGrid w:val="0"/>
        <w:spacing w:line="560" w:lineRule="exact"/>
        <w:ind w:firstLine="640" w:firstLineChars="200"/>
        <w:textAlignment w:val="auto"/>
        <w:rPr>
          <w:rFonts w:ascii="Times New Roman" w:hAnsi="Times New Roman" w:eastAsia="方正仿宋_GBK"/>
          <w:bCs/>
          <w:color w:val="000000"/>
          <w:sz w:val="32"/>
          <w:szCs w:val="32"/>
          <w:highlight w:val="none"/>
        </w:rPr>
      </w:pPr>
      <w:r>
        <w:rPr>
          <w:rFonts w:ascii="Times New Roman" w:hAnsi="Times New Roman" w:eastAsia="方正仿宋_GBK"/>
          <w:sz w:val="32"/>
          <w:szCs w:val="32"/>
          <w:highlight w:val="none"/>
        </w:rPr>
        <w:t>以上项目申报，</w:t>
      </w:r>
      <w:r>
        <w:rPr>
          <w:rFonts w:hint="eastAsia" w:ascii="Times New Roman" w:hAnsi="Times New Roman" w:eastAsia="方正仿宋_GBK"/>
          <w:sz w:val="32"/>
          <w:szCs w:val="32"/>
          <w:highlight w:val="none"/>
        </w:rPr>
        <w:t>企业牵头的项目，企业自筹经费与财政经费比例不低于1</w:t>
      </w:r>
      <w:r>
        <w:rPr>
          <w:rFonts w:hint="eastAsia" w:ascii="Times New Roman" w:hAnsi="Times New Roman" w:eastAsia="方正仿宋_GBK"/>
          <w:sz w:val="32"/>
          <w:szCs w:val="32"/>
          <w:highlight w:val="none"/>
          <w:lang w:val="en-US" w:eastAsia="zh-CN"/>
        </w:rPr>
        <w:t>:</w:t>
      </w:r>
      <w:r>
        <w:rPr>
          <w:rFonts w:hint="eastAsia" w:ascii="Times New Roman" w:hAnsi="Times New Roman" w:eastAsia="方正仿宋_GBK"/>
          <w:sz w:val="32"/>
          <w:szCs w:val="32"/>
          <w:highlight w:val="none"/>
        </w:rPr>
        <w:t>1，</w:t>
      </w:r>
      <w:r>
        <w:rPr>
          <w:rFonts w:ascii="Times New Roman" w:hAnsi="Times New Roman" w:eastAsia="方正仿宋_GBK"/>
          <w:sz w:val="32"/>
          <w:szCs w:val="32"/>
          <w:highlight w:val="none"/>
        </w:rPr>
        <w:t>立项项目在实施期内开展成果转化和产业化，实现的新增产值必须要高于项目总投入，产生明显经济效益。</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仿宋_GBK"/>
          <w:bCs/>
          <w:color w:val="000000"/>
          <w:sz w:val="32"/>
          <w:szCs w:val="32"/>
          <w:highlight w:val="none"/>
        </w:rPr>
      </w:pPr>
      <w:r>
        <w:rPr>
          <w:rFonts w:ascii="Times New Roman" w:hAnsi="Times New Roman" w:eastAsia="方正仿宋_GBK"/>
          <w:bCs/>
          <w:color w:val="000000"/>
          <w:sz w:val="32"/>
          <w:szCs w:val="32"/>
          <w:highlight w:val="none"/>
        </w:rPr>
        <w:t>（一）硅光伏、绿色能源、氢能及新型储能领域请选择填报节能环保和新能源专项；</w:t>
      </w:r>
    </w:p>
    <w:p>
      <w:pPr>
        <w:keepNext w:val="0"/>
        <w:keepLines w:val="0"/>
        <w:pageBreakBefore w:val="0"/>
        <w:kinsoku/>
        <w:wordWrap/>
        <w:overflowPunct/>
        <w:autoSpaceDN/>
        <w:bidi w:val="0"/>
        <w:spacing w:line="560" w:lineRule="exact"/>
        <w:ind w:firstLine="620" w:firstLineChars="200"/>
        <w:textAlignment w:val="auto"/>
        <w:rPr>
          <w:rFonts w:ascii="Times New Roman" w:hAnsi="Times New Roman" w:eastAsia="方正仿宋_GBK"/>
          <w:bCs/>
          <w:color w:val="000000"/>
          <w:sz w:val="32"/>
          <w:szCs w:val="32"/>
          <w:highlight w:val="none"/>
        </w:rPr>
      </w:pPr>
      <w:r>
        <w:rPr>
          <w:rFonts w:ascii="Times New Roman" w:hAnsi="Times New Roman" w:eastAsia="方正仿宋_GBK"/>
          <w:bCs/>
          <w:color w:val="000000"/>
          <w:w w:val="97"/>
          <w:sz w:val="32"/>
          <w:szCs w:val="32"/>
          <w:highlight w:val="none"/>
        </w:rPr>
        <w:t>（二）先进装备制造领域请选择填报先进装备制造专项；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color w:val="000000"/>
          <w:sz w:val="32"/>
          <w:szCs w:val="32"/>
          <w:highlight w:val="none"/>
        </w:rPr>
      </w:pPr>
      <w:r>
        <w:rPr>
          <w:rFonts w:ascii="Times New Roman" w:hAnsi="Times New Roman" w:eastAsia="方正仿宋_GBK"/>
          <w:bCs/>
          <w:color w:val="000000"/>
          <w:sz w:val="32"/>
          <w:szCs w:val="32"/>
          <w:highlight w:val="none"/>
        </w:rPr>
        <w:t>（三）探矿增储与采选冶、有色金属精深加工</w:t>
      </w:r>
      <w:r>
        <w:rPr>
          <w:rFonts w:hint="eastAsia" w:ascii="Times New Roman" w:hAnsi="Times New Roman" w:eastAsia="方正仿宋_GBK"/>
          <w:bCs/>
          <w:color w:val="000000"/>
          <w:sz w:val="32"/>
          <w:szCs w:val="32"/>
          <w:highlight w:val="none"/>
          <w:lang w:eastAsia="zh-CN"/>
        </w:rPr>
        <w:t>、</w:t>
      </w:r>
      <w:r>
        <w:rPr>
          <w:rFonts w:hint="eastAsia" w:ascii="Times New Roman" w:hAnsi="Times New Roman" w:eastAsia="方正仿宋_GBK"/>
          <w:bCs/>
          <w:color w:val="000000"/>
          <w:sz w:val="32"/>
          <w:szCs w:val="32"/>
          <w:highlight w:val="none"/>
        </w:rPr>
        <w:t>特种钢铁材料</w:t>
      </w:r>
      <w:r>
        <w:rPr>
          <w:rFonts w:hint="eastAsia" w:ascii="Times New Roman" w:hAnsi="Times New Roman" w:eastAsia="方正仿宋_GBK"/>
          <w:bCs/>
          <w:color w:val="000000"/>
          <w:sz w:val="32"/>
          <w:szCs w:val="32"/>
          <w:highlight w:val="none"/>
          <w:lang w:eastAsia="zh-CN"/>
        </w:rPr>
        <w:t>、</w:t>
      </w:r>
      <w:r>
        <w:rPr>
          <w:rFonts w:ascii="Times New Roman" w:hAnsi="Times New Roman" w:eastAsia="方正仿宋_GBK"/>
          <w:bCs/>
          <w:color w:val="000000"/>
          <w:sz w:val="32"/>
          <w:szCs w:val="32"/>
          <w:highlight w:val="none"/>
        </w:rPr>
        <w:t>绿色铝、磷资源高效高值利用、新材料领域请选择填报新材料专项；</w:t>
      </w:r>
    </w:p>
    <w:p>
      <w:pPr>
        <w:keepNext w:val="0"/>
        <w:keepLines w:val="0"/>
        <w:pageBreakBefore w:val="0"/>
        <w:kinsoku/>
        <w:wordWrap/>
        <w:overflowPunct/>
        <w:autoSpaceDN/>
        <w:bidi w:val="0"/>
        <w:spacing w:line="560" w:lineRule="exact"/>
        <w:ind w:firstLine="640" w:firstLineChars="200"/>
        <w:textAlignment w:val="auto"/>
        <w:rPr>
          <w:rFonts w:ascii="Times New Roman" w:hAnsi="Times New Roman" w:eastAsia="方正仿宋_GBK"/>
          <w:bCs/>
          <w:color w:val="000000"/>
          <w:sz w:val="32"/>
          <w:szCs w:val="32"/>
          <w:highlight w:val="none"/>
        </w:rPr>
      </w:pPr>
      <w:r>
        <w:rPr>
          <w:rFonts w:ascii="Times New Roman" w:hAnsi="Times New Roman" w:eastAsia="方正仿宋_GBK"/>
          <w:bCs/>
          <w:color w:val="000000"/>
          <w:sz w:val="32"/>
          <w:szCs w:val="32"/>
          <w:highlight w:val="none"/>
        </w:rPr>
        <w:t>（四）数字经济、低空经济、人工智能、卫星应用领域请选择填报电子信息与新一代信息技术专项。</w:t>
      </w:r>
    </w:p>
    <w:p>
      <w:pPr>
        <w:keepNext w:val="0"/>
        <w:keepLines w:val="0"/>
        <w:pageBreakBefore w:val="0"/>
        <w:kinsoku/>
        <w:wordWrap/>
        <w:overflowPunct/>
        <w:autoSpaceDN/>
        <w:bidi w:val="0"/>
        <w:spacing w:line="560" w:lineRule="exact"/>
        <w:ind w:firstLine="642" w:firstLineChars="200"/>
        <w:textAlignment w:val="auto"/>
        <w:rPr>
          <w:highlight w:val="none"/>
        </w:rPr>
      </w:pPr>
      <w:r>
        <w:rPr>
          <w:rFonts w:hint="eastAsia" w:ascii="Times New Roman" w:hAnsi="Times New Roman" w:eastAsia="方正仿宋_GBK" w:cs="Times New Roman"/>
          <w:b/>
          <w:bCs w:val="0"/>
          <w:color w:val="000000"/>
          <w:kern w:val="2"/>
          <w:sz w:val="32"/>
          <w:szCs w:val="32"/>
          <w:highlight w:val="none"/>
          <w:lang w:val="en-US" w:eastAsia="zh-CN" w:bidi="ar-SA"/>
        </w:rPr>
        <w:t>注意：</w:t>
      </w:r>
      <w:r>
        <w:rPr>
          <w:rFonts w:hint="eastAsia" w:ascii="Times New Roman" w:hAnsi="Times New Roman" w:eastAsia="方正仿宋_GBK" w:cs="Times New Roman"/>
          <w:b w:val="0"/>
          <w:bCs/>
          <w:color w:val="000000"/>
          <w:kern w:val="2"/>
          <w:sz w:val="32"/>
          <w:szCs w:val="32"/>
          <w:highlight w:val="none"/>
          <w:lang w:val="en-US" w:eastAsia="zh-CN" w:bidi="ar-SA"/>
        </w:rPr>
        <w:t>申报时，在“科技管理信息系统”首页——“项目情况”—“选题方向”处，请填写属于16个重点支持方向中的哪一个，且属于哪个子方向（如：1.探矿增储与采选冶，方向一：找矿探矿增储）。</w:t>
      </w:r>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文鼎ＰＬ简中楷"/>
    <w:panose1 w:val="02010600030101010101"/>
    <w:charset w:val="86"/>
    <w:family w:val="auto"/>
    <w:pitch w:val="default"/>
    <w:sig w:usb0="00000000" w:usb1="00000000" w:usb2="00000016" w:usb3="00000000" w:csb0="0004000F" w:csb1="00000000"/>
  </w:font>
  <w:font w:name="文鼎ＰＬ简中楷">
    <w:panose1 w:val="02010600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4"/>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AFC414"/>
    <w:rsid w:val="3EAB0813"/>
    <w:rsid w:val="3F7422BD"/>
    <w:rsid w:val="3FF986EF"/>
    <w:rsid w:val="5BCAE537"/>
    <w:rsid w:val="5C533F87"/>
    <w:rsid w:val="5F5E3AE8"/>
    <w:rsid w:val="5F5F6209"/>
    <w:rsid w:val="663FB6D4"/>
    <w:rsid w:val="68DB6186"/>
    <w:rsid w:val="6BFF98B7"/>
    <w:rsid w:val="6FDFA7A0"/>
    <w:rsid w:val="6FF6B7E0"/>
    <w:rsid w:val="73CA216B"/>
    <w:rsid w:val="75E33F6F"/>
    <w:rsid w:val="77FDEE10"/>
    <w:rsid w:val="7BAFF86C"/>
    <w:rsid w:val="7BBD46A9"/>
    <w:rsid w:val="7CF11479"/>
    <w:rsid w:val="7FBB2451"/>
    <w:rsid w:val="7FF9463E"/>
    <w:rsid w:val="BFF647E4"/>
    <w:rsid w:val="D7EB4222"/>
    <w:rsid w:val="DAB31542"/>
    <w:rsid w:val="DBFA302A"/>
    <w:rsid w:val="DDFFAC3F"/>
    <w:rsid w:val="DF5FB002"/>
    <w:rsid w:val="DFFD4F12"/>
    <w:rsid w:val="E48EC000"/>
    <w:rsid w:val="EDF9CD93"/>
    <w:rsid w:val="EFF9FF37"/>
    <w:rsid w:val="F1D491E5"/>
    <w:rsid w:val="F99EA6DD"/>
    <w:rsid w:val="FDEFB378"/>
    <w:rsid w:val="FF3F5975"/>
    <w:rsid w:val="FF6925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5" w:lineRule="auto"/>
      <w:jc w:val="both"/>
      <w:outlineLvl w:val="2"/>
    </w:pPr>
    <w:rPr>
      <w:rFonts w:eastAsia="宋体"/>
      <w:b/>
      <w:bCs/>
      <w:kern w:val="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unhideWhenUsed/>
    <w:qFormat/>
    <w:uiPriority w:val="99"/>
    <w:pPr>
      <w:suppressAutoHyphens w:val="0"/>
      <w:ind w:firstLine="420" w:firstLineChars="200"/>
    </w:pPr>
    <w:rPr>
      <w:rFonts w:ascii="等线" w:hAnsi="等线" w:eastAsia="等线"/>
      <w:szCs w:val="22"/>
    </w:rPr>
  </w:style>
  <w:style w:type="paragraph" w:customStyle="1" w:styleId="10">
    <w:name w:val="方向x"/>
    <w:basedOn w:val="1"/>
    <w:qFormat/>
    <w:uiPriority w:val="0"/>
    <w:pPr>
      <w:suppressAutoHyphens w:val="0"/>
      <w:ind w:firstLine="643" w:firstLineChars="200"/>
    </w:pPr>
    <w:rPr>
      <w:rFonts w:ascii="Times New Roman" w:hAnsi="Times New Roman" w:eastAsia="仿宋"/>
      <w:b/>
      <w:sz w:val="32"/>
      <w:szCs w:val="36"/>
    </w:rPr>
  </w:style>
  <w:style w:type="paragraph" w:customStyle="1" w:styleId="11">
    <w:name w:val="my正文"/>
    <w:basedOn w:val="1"/>
    <w:qFormat/>
    <w:uiPriority w:val="0"/>
    <w:pPr>
      <w:suppressAutoHyphens w:val="0"/>
      <w:spacing w:line="579" w:lineRule="exact"/>
      <w:ind w:firstLine="640" w:firstLineChars="200"/>
    </w:pPr>
    <w:rPr>
      <w:rFonts w:ascii="方正仿宋_GBK" w:hAnsi="Times New Roman" w:eastAsia="方正仿宋_GBK"/>
      <w:sz w:val="32"/>
      <w:szCs w:val="4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包崇卓</cp:lastModifiedBy>
  <dcterms:modified xsi:type="dcterms:W3CDTF">2026-05-26T08:59:04Z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5DA63A5DC3E0852A872E146A9C51506C</vt:lpwstr>
  </property>
</Properties>
</file>