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left"/>
        <w:textAlignment w:val="auto"/>
        <w:rPr>
          <w:rStyle w:val="6"/>
          <w:rFonts w:hint="eastAsia" w:ascii="方正黑体_GBK" w:hAnsi="方正黑体_GBK" w:eastAsia="方正黑体_GBK" w:cs="方正黑体_GBK"/>
          <w:b w:val="0"/>
          <w:bCs w:val="0"/>
          <w:i w:val="0"/>
          <w:iCs w:val="0"/>
          <w:caps w:val="0"/>
          <w:color w:val="000000"/>
          <w:spacing w:val="0"/>
          <w:sz w:val="32"/>
          <w:szCs w:val="32"/>
          <w:shd w:val="clear" w:color="auto" w:fill="FFFFFF"/>
          <w:lang w:val="en-US" w:eastAsia="zh-CN"/>
        </w:rPr>
      </w:pPr>
      <w:r>
        <w:rPr>
          <w:rStyle w:val="6"/>
          <w:rFonts w:hint="eastAsia" w:ascii="方正黑体_GBK" w:hAnsi="方正黑体_GBK" w:eastAsia="方正黑体_GBK" w:cs="方正黑体_GBK"/>
          <w:b w:val="0"/>
          <w:bCs w:val="0"/>
          <w:i w:val="0"/>
          <w:iCs w:val="0"/>
          <w:caps w:val="0"/>
          <w:color w:val="000000"/>
          <w:spacing w:val="0"/>
          <w:sz w:val="32"/>
          <w:szCs w:val="32"/>
          <w:shd w:val="clear" w:color="auto" w:fill="FFFFFF"/>
          <w:lang w:val="en" w:eastAsia="zh-CN"/>
        </w:rPr>
        <w:t>附件</w:t>
      </w:r>
      <w:r>
        <w:rPr>
          <w:rStyle w:val="6"/>
          <w:rFonts w:hint="eastAsia" w:ascii="方正黑体_GBK" w:hAnsi="方正黑体_GBK" w:eastAsia="方正黑体_GBK" w:cs="方正黑体_GBK"/>
          <w:b w:val="0"/>
          <w:bCs w:val="0"/>
          <w:i w:val="0"/>
          <w:iCs w:val="0"/>
          <w:caps w:val="0"/>
          <w:color w:val="000000"/>
          <w:spacing w:val="0"/>
          <w:sz w:val="32"/>
          <w:szCs w:val="32"/>
          <w:shd w:val="clear" w:color="auto" w:fill="FFFFFF"/>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lang w:val="en-US" w:eastAsia="zh-CN"/>
        </w:rPr>
        <w:t>关于</w:t>
      </w:r>
      <w:r>
        <w:rPr>
          <w:rFonts w:hint="default" w:ascii="Times New Roman" w:hAnsi="Times New Roman" w:eastAsia="方正小标宋_GBK" w:cs="Times New Roman"/>
          <w:sz w:val="44"/>
          <w:szCs w:val="44"/>
        </w:rPr>
        <w:t>《云南省科技厅科研诚信管理办法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lang w:val="en-US" w:eastAsia="zh-CN"/>
        </w:rPr>
        <w:t>征求意见稿</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w:t>
      </w:r>
      <w:r>
        <w:rPr>
          <w:rFonts w:hint="default" w:ascii="Times New Roman" w:hAnsi="Times New Roman" w:eastAsia="方正小标宋_GBK" w:cs="Times New Roman"/>
          <w:sz w:val="44"/>
          <w:szCs w:val="44"/>
          <w:lang w:val="en-US" w:eastAsia="zh-CN"/>
        </w:rPr>
        <w:t>的</w:t>
      </w:r>
      <w:r>
        <w:rPr>
          <w:rFonts w:hint="default" w:ascii="Times New Roman" w:hAnsi="Times New Roman" w:eastAsia="方正小标宋_GBK" w:cs="Times New Roman"/>
          <w:sz w:val="44"/>
          <w:szCs w:val="44"/>
        </w:rPr>
        <w:t>起草说明</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为贯彻落实国家和云南省关于加强科研诚信建设的决策部署，进一步规范科研诚信管理，完善科研诚信制度体系，云南省科学技术厅对《云南省科技厅科研诚信管理办法（试行）》（云科规〔2023〕5号，以下简称原《办法》）进行了修订，形成了《云南省科技厅科研诚信管理办法》（</w:t>
      </w:r>
      <w:r>
        <w:rPr>
          <w:rFonts w:hint="eastAsia" w:ascii="Times New Roman" w:hAnsi="Times New Roman" w:eastAsia="方正仿宋_GBK" w:cs="Times New Roman"/>
          <w:sz w:val="32"/>
          <w:szCs w:val="32"/>
          <w:lang w:val="en-US" w:eastAsia="zh-CN"/>
        </w:rPr>
        <w:t>征求意见</w:t>
      </w:r>
      <w:r>
        <w:rPr>
          <w:rFonts w:hint="default" w:ascii="Times New Roman" w:hAnsi="Times New Roman" w:eastAsia="方正仿宋_GBK" w:cs="Times New Roman"/>
          <w:sz w:val="32"/>
          <w:szCs w:val="32"/>
        </w:rPr>
        <w:t>稿，以下简称《办法》）。现将修订有关情况说明如下</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一、修订背景及必要性</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（一）落实上位法最新要求确保制度衔接统一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原《办法》于2023年11月30日起试行，有效期3年。试行期间，科研诚信管理上位法体系发生重要变化：2026年3月20日，《科学技术活动违规行为调查处理规定》（科学技术部令第24号）正式施行，原《科学技术活动违规行为处理暂行规定》（科学技术部令第19号）同时废止，对违规行为的调查处理程序作出系统性调整；《科研诚信严重失信行为数据库管理办法》（国科发监〔2023〕149号）对严重失信行为数据库管理提出了新要求。为确保上位法衔接统一，亟需对原《办法》进行修订完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（二）适应科技管理新形势补充制度空白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近年来，人工智能技术快速发展，滥用人工智能实施学术不端行为成为科研诚信领域的新挑战。中国科学院发布《关于在科研活动中规范使用人工智能技术的诚信提醒》，中国社会科学院发布《人工智能辅助科研基本规范》，明确了人工智能使用的行为边界。科技成果“先使用后付费”转化模式对信用约束提出了双向要求，原《办法》对此缺乏针对性规定。需通过修订及时回应新形势下的制度需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进一步提升制度的系统性和可操作性</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试行经验基础上，本次修订着力优化制度设计的内在逻辑和适用效能。一是优化失信行为清单的编排体例，按主体分类集中列举，方便执法人员对照适用。二是厘清失信行为分类与信用评级的衔接关系，使行为认定与分级管理形成清晰对应；三是完善信用评级标准，使分级界限更加明确，便于实际操作；同时，根据国务院办公厅《关于进一步完善失信约束制度</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构建诚信建设长效机制的指导意见》意见精神，进一步规范失信行为记录与联合惩戒的衔接程序，确保制度的合法性和规范性。通过上述调整，力求形成逻辑更清晰、结构更严谨、适用更便捷的制度体系。</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二、修订依据及参考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（一）《中华人民共和国科学技术进步法》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（二）中共中央办公厅、国务院办公厅《关于进一步加强科研诚信建设的若干意见》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（三）国务院办公厅《关于进一步完善失信约束制度</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构建诚信建设长效机制的指导意见》（国办发〔2020〕49号）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（四）科技部《科研失信行为调查处理规则》（国科发监〔2022〕221号）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（五）科技部《科学技术活动违规行为调查处理规定》（科学技术部令第24号）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（六）科技部《科研诚信严重失信行为数据库管理办法》（国科发监〔2023〕149号）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《中共云南省委办公厅 云南省人民政府办公厅印发〈关于进一步加强科研诚信建设的实施意见〉的通知》（云厅字〔2019〕27号）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val="en-US" w:eastAsia="zh-CN"/>
        </w:rPr>
        <w:t>文件</w:t>
      </w:r>
      <w:r>
        <w:rPr>
          <w:rFonts w:hint="eastAsia" w:ascii="方正黑体_GBK" w:hAnsi="方正黑体_GBK" w:eastAsia="方正黑体_GBK" w:cs="方正黑体_GBK"/>
          <w:sz w:val="32"/>
          <w:szCs w:val="32"/>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《办法》共九章四十</w:t>
      </w: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rPr>
        <w:t>条，以构建统一、有效、透明、规范的科研信用体系为目标，从全流程管理、主体分类、信用评级、分级处置等维度，对科研诚信管理作出系统性规定。主要内容如下</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（一）总则（第一条至第四条）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明确了《办法》的制定目的和依据、核心用语含义、适用范围及基本原则。规定了科研诚信管理覆盖各类科技计划（项目）、科技创新基地（平台）、科学技术奖励、科技人才、科技型企业等科技活动全链条，确立客观公正、科学合理、激励创新、宽容失败、分级分类、奖惩并举的基本原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（二）责任分工（第五条至第九条）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省科技厅—州（市）科技行政管理部门—项目推荐单位—项目承担单位—科技工作者”五级架构，明确各方在科研诚信建设中的职责边界。其中，省科技厅负责统筹协调和宏观指导，各州（市）科技行政管理部门履行属地管理职责，项目推荐单位负责推荐环节的审核把关，项目承担单位作为第一责任主体承担本单位科研诚信建设的主体责任，科技工作者恪守诚信底线。形成职责清晰、层层传导的责任链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（三）管理机制（第十条至第十五条）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规定了科研诚信全流程监督管理的具体制度，包括科研合同诚信条款约定、诚信承诺制度、科研诚信审核机制、守信激励和失信惩戒制度、容错纠错机制等。其中，</w:t>
      </w:r>
      <w:r>
        <w:rPr>
          <w:rFonts w:hint="eastAsia" w:ascii="Times New Roman" w:hAnsi="Times New Roman" w:eastAsia="方正仿宋_GBK" w:cs="Times New Roman"/>
          <w:sz w:val="32"/>
          <w:szCs w:val="32"/>
          <w:lang w:val="en-US" w:eastAsia="zh-CN"/>
        </w:rPr>
        <w:t>对</w:t>
      </w:r>
      <w:r>
        <w:rPr>
          <w:rFonts w:hint="default" w:ascii="Times New Roman" w:hAnsi="Times New Roman" w:eastAsia="方正仿宋_GBK" w:cs="Times New Roman"/>
          <w:sz w:val="32"/>
          <w:szCs w:val="32"/>
        </w:rPr>
        <w:t>存在严重失信的</w:t>
      </w:r>
      <w:r>
        <w:rPr>
          <w:rFonts w:hint="eastAsia" w:ascii="Times New Roman" w:hAnsi="Times New Roman" w:eastAsia="方正仿宋_GBK" w:cs="Times New Roman"/>
          <w:sz w:val="32"/>
          <w:szCs w:val="32"/>
          <w:lang w:val="en-US" w:eastAsia="zh-CN"/>
        </w:rPr>
        <w:t>主体</w:t>
      </w:r>
      <w:r>
        <w:rPr>
          <w:rFonts w:hint="default" w:ascii="Times New Roman" w:hAnsi="Times New Roman" w:eastAsia="方正仿宋_GBK" w:cs="Times New Roman"/>
          <w:sz w:val="32"/>
          <w:szCs w:val="32"/>
        </w:rPr>
        <w:t>实行“一票否决”；容错纠错机制明确科研项目因客观原因未达预期目标且已履行勤勉尽责义务的，经认定可不纳入失信行为记录，与《云南省科技创新容错纠错实施办法》保持衔接。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（四）失信行为和信用记录（第十六条至第二十四条）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为</w:t>
      </w:r>
      <w:r>
        <w:rPr>
          <w:rFonts w:hint="default" w:ascii="Times New Roman" w:hAnsi="Times New Roman" w:eastAsia="方正仿宋_GBK" w:cs="Times New Roman"/>
          <w:sz w:val="32"/>
          <w:szCs w:val="32"/>
        </w:rPr>
        <w:t>本次修订的重点章节。修订后按五类责任主体分别列举失信行为：科学技术人员、科学技术活动实施单位、咨询评审专家、第三方科学技术服务机构及其工作人员、受托管理机构及其工作人员。每类主体下的失信行为以清单形式集中呈现，方便对照适用。在此基础上，结合“先使用后付费”工作，新增转化活动中的双向信用约束条款，将供给方不履行交付成果或技术支持义务、使用方不支付许可费、夸大成果价值或隐瞒风险造成损失等行为纳入失信记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明确将滥用AI编造项目资料或成果等行为纳入清单，回应科技管理新挑战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明确不按规定退还应退财政科研资金的行为纳入失信记录，涵盖项目终止、撤销、验收结论为结题或不通过等应退未退情形。</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（五）信用评级（第二十五条至第二十七条）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立了A（信用良好）、B（一般失信）、C（严重失信）三级信用评级制度。评级标准具体化为：A级为连续2年以上无失信记录；B级为发生失信行为但未造成严重后果，或1年内出现2次及以上失信行为记录；C级为造成严重后果或恶劣影响。评级结果作为项目评审、资源配置等管理活动的</w:t>
      </w:r>
      <w:r>
        <w:rPr>
          <w:rFonts w:hint="eastAsia" w:ascii="Times New Roman" w:hAnsi="Times New Roman" w:eastAsia="方正仿宋_GBK" w:cs="Times New Roman"/>
          <w:sz w:val="32"/>
          <w:szCs w:val="32"/>
          <w:lang w:val="en-US" w:eastAsia="zh-CN"/>
        </w:rPr>
        <w:t>重要</w:t>
      </w:r>
      <w:r>
        <w:rPr>
          <w:rFonts w:hint="default" w:ascii="Times New Roman" w:hAnsi="Times New Roman" w:eastAsia="方正仿宋_GBK" w:cs="Times New Roman"/>
          <w:sz w:val="32"/>
          <w:szCs w:val="32"/>
        </w:rPr>
        <w:t>参考依据。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（六）失信调查（第二十八条至第三十</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科研失信行为的调查、认定和处理程序作出规定，明确按照科技部《科研失信行为调查处理规则》（国科发监〔2022〕221号）及《科学技术活动违规行为调查处理规定》（科学技术部令第24号）规定的程序执行。省科技厅在信用评级中发现情节严重的失信线索时，应当组织调查，按上位法程序处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（七）激励与惩戒（第三十</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条至第三十五条）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行分级分类处理：A级实行守信激励，在同等条件下予以优先支持、简化程序、减少检查频次；B级适用信用约束措施，包括约谈、通报、重点监督等，由省科技厅直接实施；C级引致上位法调查处理程序，依据科技部221号文和24号令的生效处理决定实施惩戒，推送至科研诚信严重失信行为数据库和联合惩戒平台。对涉及公职人员工作纪律、行政管理等问题的，按规定移送相关部门处理。同时，本章还规定了信用修复制度，允许在惩戒期内通过履行义务、主动整改等方式申请修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（八）保障与监督（第三十六条至第四十条）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规定了科研诚信信息的采集、使用、异议处理及系统对接等保障制度。相关责任主体对信用记录、评级结果有异议的，可在规定时限内提出异议申请。省科技厅在推送科研诚信严重失信行为数据库前，应当告知当事人拟推送的事实、理由、依据及陈述申辩权利。此外，省科技管理信息系统与科技部科研诚信信息管理系统、省社会公共信用信息平台实现对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（九）附则（第四十一条至第四十二条）</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明确了《办法》的解释机关和施行日期。</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6"/>
          <w:rFonts w:hint="default" w:ascii="方正黑体_GBK" w:hAnsi="方正黑体_GBK" w:eastAsia="方正黑体_GBK" w:cs="方正黑体_GBK"/>
          <w:b w:val="0"/>
          <w:bCs w:val="0"/>
          <w:i w:val="0"/>
          <w:iCs w:val="0"/>
          <w:caps w:val="0"/>
          <w:color w:val="000000"/>
          <w:spacing w:val="0"/>
          <w:sz w:val="32"/>
          <w:szCs w:val="32"/>
          <w:shd w:val="clear" w:color="auto" w:fill="FFFFFF"/>
          <w:lang w:val="en-US" w:eastAsia="zh-CN"/>
        </w:rPr>
      </w:pPr>
    </w:p>
    <w:p>
      <w:pPr>
        <w:spacing w:line="560" w:lineRule="exact"/>
        <w:ind w:firstLine="632" w:firstLineChars="200"/>
        <w:rPr>
          <w:rFonts w:ascii="Times New Roman" w:hAnsi="Times New Roman" w:cs="Times New Roman"/>
        </w:rPr>
      </w:pPr>
    </w:p>
    <w:p/>
    <w:p/>
    <w:sectPr>
      <w:headerReference r:id="rId3" w:type="default"/>
      <w:footerReference r:id="rId4" w:type="default"/>
      <w:footerReference r:id="rId5" w:type="even"/>
      <w:pgSz w:w="11907" w:h="16840"/>
      <w:pgMar w:top="2098" w:right="1531" w:bottom="1985" w:left="1531" w:header="851" w:footer="1588" w:gutter="0"/>
      <w:cols w:space="720" w:num="1"/>
      <w:docGrid w:type="linesAndChars" w:linePitch="560"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wordWrap w:val="0"/>
      <w:jc w:val="right"/>
      <w:rPr>
        <w:rStyle w:val="7"/>
        <w:sz w:val="28"/>
        <w:szCs w:val="28"/>
      </w:rPr>
    </w:pPr>
    <w:r>
      <w:rPr>
        <w:rStyle w:val="7"/>
        <w:rFonts w:hint="eastAsia"/>
        <w:sz w:val="28"/>
        <w:szCs w:val="28"/>
      </w:rPr>
      <w:t xml:space="preserve">　—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1</w:t>
    </w:r>
    <w:r>
      <w:rPr>
        <w:rStyle w:val="7"/>
        <w:sz w:val="28"/>
        <w:szCs w:val="28"/>
      </w:rPr>
      <w:fldChar w:fldCharType="end"/>
    </w:r>
    <w:r>
      <w:rPr>
        <w:rStyle w:val="7"/>
        <w:rFonts w:hint="eastAsia"/>
        <w:sz w:val="28"/>
        <w:szCs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303BD"/>
    <w:multiLevelType w:val="singleLevel"/>
    <w:tmpl w:val="EFE303B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8E6A23"/>
    <w:rsid w:val="FF8E6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2026-08-03T10:40:00Z</dcterms:created>
  <dc:creator>刘薇</dc:creator>
  <cp:lastModifiedBy>刘薇</cp:lastModifiedBy>
  <dcterms:modified xsi:type="dcterms:W3CDTF">2026-08-03T10:44:08Z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