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beforeLines="0" w:afterLines="0" w:line="580" w:lineRule="atLeas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附件</w:t>
      </w:r>
    </w:p>
    <w:p>
      <w:pPr>
        <w:overflowPunct w:val="0"/>
        <w:snapToGrid w:val="0"/>
        <w:spacing w:beforeLines="0" w:afterLines="0" w:line="580" w:lineRule="atLeast"/>
        <w:ind w:firstLine="640" w:firstLineChars="2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云南省重点实验室评估规则</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评估工作分评估前准备、集中会议评估、现场核查和评估结果公布4个阶段。</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评估前准备阶段各方工作职责及程序：</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（一）专业评估机构具体实施实</w:t>
      </w:r>
      <w:bookmarkStart w:id="0" w:name="_GoBack"/>
      <w:bookmarkEnd w:id="0"/>
      <w:r>
        <w:rPr>
          <w:rFonts w:hint="eastAsia" w:ascii="仿宋_GB2312" w:hAnsi="仿宋_GB2312" w:eastAsia="仿宋_GB2312" w:cs="仿宋_GB2312"/>
          <w:color w:val="000000"/>
          <w:sz w:val="32"/>
          <w:szCs w:val="32"/>
        </w:rPr>
        <w:t>验室评估工作。评估机构的主要职责是：拟定评估方案和经费预算，并报省科技厅审批；组织专家评估。</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（二）列入云南省重点实验室序列的实验室均应参加评估。参评实验室应认真准备和接受评估，准确、真实、按时提供相关材料。</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评估专家由本领域学术水平高、公道正派、熟悉实验室工作的一线科技专家和科研管理专家组成；对应用基础研究比重大的领域，专业评估机构应当聘请相关产业界的专家。评估专家应当严格遵守国家法律、法规和政策，科学、公正、独立地行使职责和权力。</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（四）参评实验室在评估通知下达后按规定时间要求，填报并提交《云南省重点实验室评估申请书》，经依托单位审核盖章后，送至通知规定地点。</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（五）专业评估机构根据参评实验室的研究领域和研究方向，进行分组，遴选评估专家组成专家组，确定专家组组长。</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集中会议评估阶段各方工作职责及程序：</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（一）集中会议评估由专家组组长主持，主要内容包括：听取实验室工作报告、代表性成果报告和质询等。报告时间不超过30分钟，质询时间不超过20分钟。</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（二）集中会议评估汇报须由实验室主任汇报。</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工作报告应对评估期限内实验室工作进行全面、系统总结，其主要内容为实验室在科研贡献、队伍建设与人才培养、开放交流与运行管理（含安全管理工作）、弘扬老一辈科学家精神等方面的情况，以及实验室优势和特色、国内外的地位和影响、存在的问题和不足、未来3年发展规划和设想等。</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性成果学术报告介绍实验室最具代表性的5项科研成果。代表性成果是指评估期限内以实验室为基地、符合实验室主要研究方向、以实验室固定人员为主产生的科研成果，与其他单位或个人合作完成的科研成果须书面说明并提供相应的证明材料。</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（三）专家组成员根据实验室工作报告、代表性成果报告，向实验室参评人员进行提问。</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（四）提问完成后，参评人员离会。专家组成员就参评实验室在研究水平与贡献、队伍建设与人才培养、开放交流与运行管理等方面的成绩和存在问题进行讨论评议，并拟定评估意见。</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专家组完成对本组所有参评实验室集中汇报后，由专家组组长召集专家组全体成员，根据实验室评估指标体系，汇报情况、定量数据和年度考核情况，分别填写《云南省重点实验室评估专家评分表》，对参评实验室记名定量打分，并研究形成集中会议评估意见。评估意见应明确指出实验室存在的问题和改进建议。</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专业评估机构汇总打分结果，提出本组参评实验室的集中会议评估综合排序意见，综合排序（按分数由高到低）前20%名和后20%名的实验室进行现场核查，同时省科技厅还将从其余参评实验室中抽取不少于10%的实验室进行现场核查。</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（七）专业评估机构将集中会议评估打分结果、综合排序、拟进行现场核查的实验室名单、专家组名单等材料报省科技厅。</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（八）集中会议评估的会务接待工作不得委托参评实验室或依托单位承办。参评实验室不得安排与评估工作无关的活动。</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现场核查阶段各方工作职责及程序：</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现场核查按集中会议考核的分组进行，由评估工作人员带领各组3名专家赴参评实验室现场考察仪器设备运行和共享情况、核实科研成果和运行经费使用效果、了解人才队伍建设和对外开放情况、抽查实验记录等。</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评估工作人员根据参评实验室提交的《云南省重点实验室评估申请书》和实验室年度报告，现场核对相关数据。</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考核专家须随机抽选实验室固定人员进行个别访谈或召开座谈会，了解实验室的运行管理情况、取得的成绩和存在的问题。</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应提供和展示各类项目合同书、获奖证书、科研成果（论文、专利等）、公共服务证明、实验记录、规章制度等资料。论文、专著等研究成果均应标注实验室名称，未按规定标注的，不予统计；不是利用重点实验室的物质技术条件所完成或获得的数据库、专利、软件著作权、奖励、技术成果转让等不予统计。</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（二）所有参评实验室的现场核查结束后，评估机构应及时统计数据，形成现场核查情况报告。</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评估结果公布阶段各方工作职责及程序：</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专业评估机构根据集中会议评估专家打分结果、现场核查情况，在10个工作日内向省科技厅提交评估报告和所有相关材料。评估报告应对评估过程进行说明，对评估产生的材料进行分析，对评估工作进行系统总结，提出考核评价等次建议。</w:t>
      </w:r>
    </w:p>
    <w:p>
      <w:pPr>
        <w:overflowPunct w:val="0"/>
        <w:snapToGrid w:val="0"/>
        <w:spacing w:beforeLines="0" w:afterLines="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（二）省科技厅在审核评估报告基础上，结合实验室年度考核情况，确定评估结果，并在省科技厅门户网站上发布。</w:t>
      </w:r>
    </w:p>
    <w:p>
      <w:r>
        <w:rPr>
          <w:rFonts w:hint="eastAsia" w:ascii="仿宋_GB2312" w:hAnsi="仿宋_GB2312" w:eastAsia="仿宋_GB2312" w:cs="仿宋_GB2312"/>
          <w:color w:val="000000"/>
          <w:sz w:val="32"/>
          <w:szCs w:val="32"/>
        </w:rPr>
        <w:t>（三）实验室评估结果分“优”、“良”、“中”、“差”4类。在所有参评实验室中，“优”的比例不超过20%，“中”和“差”的比例不低于10%。</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DcyNTBhMTQ0M2UyNmVkOGQzNDkzY2VjMzkyMmMifQ=="/>
  </w:docVars>
  <w:rsids>
    <w:rsidRoot w:val="00172A27"/>
    <w:rsid w:val="6DC3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TableOfAuthoring"/>
    <w:basedOn w:val="1"/>
    <w:next w:val="1"/>
    <w:unhideWhenUsed/>
    <w:qFormat/>
    <w:uiPriority w:val="0"/>
    <w:pPr>
      <w:spacing w:beforeLines="0" w:afterLines="0"/>
      <w:ind w:left="420"/>
    </w:pPr>
    <w:rPr>
      <w:rFonts w:hint="default"/>
      <w:sz w:val="21"/>
      <w:szCs w:val="24"/>
    </w:rPr>
  </w:style>
  <w:style w:type="paragraph" w:styleId="3">
    <w:name w:val="header"/>
    <w:basedOn w:val="1"/>
    <w:unhideWhenUsed/>
    <w:qFormat/>
    <w:uiPriority w:val="0"/>
    <w:pPr>
      <w:tabs>
        <w:tab w:val="center" w:pos="4153"/>
        <w:tab w:val="right" w:pos="8306"/>
      </w:tabs>
      <w:snapToGrid w:val="0"/>
      <w:spacing w:beforeLines="0" w:afterLines="0"/>
    </w:pPr>
    <w:rPr>
      <w:rFonts w:hint="default"/>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2024-03-25T09:04:00Z</dcterms:created>
  <dc:creator>Lyu zhaowanyue</dc:creator>
  <cp:lastModifiedBy>Lyu zhaowanyue</cp:lastModifiedBy>
  <dcterms:modified xsi:type="dcterms:W3CDTF">2024-03-25T09:05:12Z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BCC5FF965D74453A9412027224008FC5_11</vt:lpwstr>
  </property>
</Properties>
</file>