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B47C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color w:val="auto"/>
          <w:kern w:val="2"/>
          <w:sz w:val="44"/>
          <w:szCs w:val="44"/>
          <w:lang w:val="en-US" w:eastAsia="zh-CN" w:bidi="ar-SA"/>
        </w:rPr>
      </w:pPr>
    </w:p>
    <w:p w14:paraId="71FB21D9">
      <w:pPr>
        <w:pStyle w:val="3"/>
        <w:rPr>
          <w:rFonts w:hint="eastAsia"/>
          <w:lang w:val="en-US" w:eastAsia="zh-CN"/>
        </w:rPr>
      </w:pPr>
    </w:p>
    <w:p w14:paraId="3D06FB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color w:val="auto"/>
          <w:kern w:val="2"/>
          <w:sz w:val="44"/>
          <w:szCs w:val="44"/>
          <w:lang w:val="en-US" w:eastAsia="zh-CN" w:bidi="ar-SA"/>
        </w:rPr>
      </w:pPr>
      <w:bookmarkStart w:id="0" w:name="_GoBack"/>
      <w:r>
        <w:rPr>
          <w:rFonts w:hint="default" w:ascii="宋体" w:hAnsi="宋体" w:eastAsia="宋体" w:cs="宋体"/>
          <w:b w:val="0"/>
          <w:color w:val="auto"/>
          <w:kern w:val="2"/>
          <w:sz w:val="44"/>
          <w:szCs w:val="44"/>
          <w:lang w:val="en-US" w:eastAsia="zh-CN" w:bidi="ar-SA"/>
        </w:rPr>
        <w:t>中共云南省委组织部 云南省科学技术厅 云南省财政厅 云南省人力资源和社会保障厅 云南省科学技术协会关于印发云南省院士专家工作站管理办法的通知</w:t>
      </w:r>
    </w:p>
    <w:bookmarkEnd w:id="0"/>
    <w:p w14:paraId="1A184B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78AA87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规〔202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14:paraId="1B5F31E5">
      <w:pPr>
        <w:pStyle w:val="3"/>
        <w:rPr>
          <w:rFonts w:hint="eastAsia" w:ascii="仿宋_GB2312" w:hAnsi="仿宋_GB2312" w:eastAsia="仿宋_GB2312" w:cs="仿宋_GB2312"/>
          <w:sz w:val="32"/>
          <w:szCs w:val="32"/>
        </w:rPr>
      </w:pPr>
    </w:p>
    <w:p w14:paraId="21C9B4AA">
      <w:pPr>
        <w:rPr>
          <w:rFonts w:hint="eastAsia"/>
        </w:rPr>
      </w:pPr>
    </w:p>
    <w:p w14:paraId="672C21A8">
      <w:pPr>
        <w:pStyle w:val="8"/>
        <w:spacing w:before="0" w:beforeAutospacing="0" w:after="0" w:afterAutospacing="0" w:line="560" w:lineRule="exact"/>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各有关单位：</w:t>
      </w:r>
    </w:p>
    <w:p w14:paraId="0CA47B33">
      <w:pPr>
        <w:pStyle w:val="8"/>
        <w:spacing w:before="0" w:beforeAutospacing="0" w:after="0" w:afterAutospacing="0" w:line="560" w:lineRule="exact"/>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为</w:t>
      </w:r>
      <w:r>
        <w:rPr>
          <w:rFonts w:hint="default" w:ascii="Times New Roman" w:hAnsi="Times New Roman" w:eastAsia="方正仿宋_GBK" w:cs="Times New Roman"/>
          <w:color w:val="auto"/>
          <w:kern w:val="0"/>
          <w:sz w:val="32"/>
          <w:szCs w:val="32"/>
          <w:highlight w:val="none"/>
          <w:lang w:bidi="ar"/>
        </w:rPr>
        <w:t>深入贯彻落实习近平总书记关于科技创新</w:t>
      </w:r>
      <w:r>
        <w:rPr>
          <w:rFonts w:hint="default" w:ascii="Times New Roman" w:hAnsi="Times New Roman" w:eastAsia="方正仿宋_GBK" w:cs="Times New Roman"/>
          <w:color w:val="auto"/>
          <w:kern w:val="0"/>
          <w:sz w:val="32"/>
          <w:szCs w:val="32"/>
          <w:highlight w:val="none"/>
          <w:lang w:eastAsia="zh-CN" w:bidi="ar"/>
        </w:rPr>
        <w:t>的</w:t>
      </w:r>
      <w:r>
        <w:rPr>
          <w:rFonts w:hint="default" w:ascii="Times New Roman" w:hAnsi="Times New Roman" w:eastAsia="方正仿宋_GBK" w:cs="Times New Roman"/>
          <w:color w:val="auto"/>
          <w:kern w:val="0"/>
          <w:sz w:val="32"/>
          <w:szCs w:val="32"/>
          <w:highlight w:val="none"/>
          <w:lang w:bidi="ar"/>
        </w:rPr>
        <w:t>重要论述和考察云南重要讲话精神，充分发挥省外院士</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专家对云南科技创新</w:t>
      </w:r>
      <w:r>
        <w:rPr>
          <w:rFonts w:hint="default" w:ascii="Times New Roman" w:hAnsi="Times New Roman" w:eastAsia="方正仿宋_GBK" w:cs="Times New Roman"/>
          <w:color w:val="auto"/>
          <w:kern w:val="0"/>
          <w:sz w:val="32"/>
          <w:szCs w:val="32"/>
          <w:highlight w:val="none"/>
          <w:lang w:eastAsia="zh-CN" w:bidi="ar"/>
        </w:rPr>
        <w:t>和产业</w:t>
      </w:r>
      <w:r>
        <w:rPr>
          <w:rFonts w:hint="default" w:ascii="Times New Roman" w:hAnsi="Times New Roman" w:eastAsia="方正仿宋_GBK" w:cs="Times New Roman"/>
          <w:color w:val="auto"/>
          <w:kern w:val="0"/>
          <w:sz w:val="32"/>
          <w:szCs w:val="32"/>
          <w:highlight w:val="none"/>
          <w:lang w:bidi="ar"/>
        </w:rPr>
        <w:t>发展的助推作用，支持省内有关单位与院士</w:t>
      </w:r>
      <w:r>
        <w:rPr>
          <w:rFonts w:hint="default" w:ascii="Times New Roman" w:hAnsi="Times New Roman" w:eastAsia="方正仿宋_GBK" w:cs="Times New Roman"/>
          <w:color w:val="auto"/>
          <w:kern w:val="0"/>
          <w:sz w:val="32"/>
          <w:szCs w:val="32"/>
          <w:highlight w:val="none"/>
          <w:lang w:eastAsia="zh-CN" w:bidi="ar"/>
        </w:rPr>
        <w:t>、专家</w:t>
      </w:r>
      <w:r>
        <w:rPr>
          <w:rFonts w:hint="default" w:ascii="Times New Roman" w:hAnsi="Times New Roman" w:eastAsia="方正仿宋_GBK" w:cs="Times New Roman"/>
          <w:color w:val="auto"/>
          <w:kern w:val="0"/>
          <w:sz w:val="32"/>
          <w:szCs w:val="32"/>
          <w:highlight w:val="none"/>
          <w:lang w:bidi="ar"/>
        </w:rPr>
        <w:t>深入开展关键技术联合攻关，培养科技创新人才队伍，加快科技成果转化应用及产业化，</w:t>
      </w:r>
      <w:r>
        <w:rPr>
          <w:rFonts w:hint="default" w:ascii="Times New Roman" w:hAnsi="Times New Roman" w:eastAsia="方正仿宋_GBK" w:cs="Times New Roman"/>
          <w:color w:val="auto"/>
          <w:kern w:val="0"/>
          <w:sz w:val="32"/>
          <w:szCs w:val="32"/>
          <w:highlight w:val="none"/>
          <w:lang w:eastAsia="zh-CN" w:bidi="ar"/>
        </w:rPr>
        <w:t>持续</w:t>
      </w:r>
      <w:r>
        <w:rPr>
          <w:rFonts w:hint="default" w:ascii="Times New Roman" w:hAnsi="Times New Roman" w:eastAsia="方正仿宋_GBK" w:cs="Times New Roman"/>
          <w:color w:val="auto"/>
          <w:kern w:val="0"/>
          <w:sz w:val="32"/>
          <w:szCs w:val="32"/>
          <w:highlight w:val="none"/>
          <w:lang w:bidi="ar"/>
        </w:rPr>
        <w:t>提升云南科技创新能力</w:t>
      </w:r>
      <w:r>
        <w:rPr>
          <w:rFonts w:hint="default" w:ascii="Times New Roman" w:hAnsi="Times New Roman" w:eastAsia="方正仿宋_GBK" w:cs="Times New Roman"/>
          <w:color w:val="auto"/>
          <w:kern w:val="0"/>
          <w:sz w:val="32"/>
          <w:szCs w:val="32"/>
          <w:highlight w:val="none"/>
          <w:lang w:eastAsia="zh-CN" w:bidi="ar"/>
        </w:rPr>
        <w:t>与核心竞争力</w:t>
      </w:r>
      <w:r>
        <w:rPr>
          <w:rFonts w:hint="default" w:ascii="Times New Roman" w:hAnsi="Times New Roman" w:eastAsia="方正仿宋_GBK" w:cs="Times New Roman"/>
          <w:color w:val="auto"/>
          <w:kern w:val="0"/>
          <w:sz w:val="32"/>
          <w:szCs w:val="32"/>
          <w:highlight w:val="none"/>
          <w:lang w:bidi="ar"/>
        </w:rPr>
        <w:t>，促进云南</w:t>
      </w:r>
      <w:r>
        <w:rPr>
          <w:rFonts w:hint="default" w:ascii="Times New Roman" w:hAnsi="Times New Roman" w:eastAsia="方正仿宋_GBK" w:cs="Times New Roman"/>
          <w:color w:val="auto"/>
          <w:kern w:val="0"/>
          <w:sz w:val="32"/>
          <w:szCs w:val="32"/>
          <w:highlight w:val="none"/>
          <w:lang w:eastAsia="zh-CN" w:bidi="ar"/>
        </w:rPr>
        <w:t>经济社会</w:t>
      </w:r>
      <w:r>
        <w:rPr>
          <w:rFonts w:hint="default" w:ascii="Times New Roman" w:hAnsi="Times New Roman" w:eastAsia="方正仿宋_GBK" w:cs="Times New Roman"/>
          <w:color w:val="auto"/>
          <w:kern w:val="0"/>
          <w:sz w:val="32"/>
          <w:szCs w:val="32"/>
          <w:highlight w:val="none"/>
          <w:lang w:bidi="ar"/>
        </w:rPr>
        <w:t>高质量发展，现将《</w:t>
      </w:r>
      <w:r>
        <w:rPr>
          <w:rFonts w:hint="default" w:ascii="Times New Roman" w:hAnsi="Times New Roman" w:eastAsia="方正仿宋_GBK" w:cs="Times New Roman"/>
          <w:color w:val="auto"/>
          <w:kern w:val="0"/>
          <w:sz w:val="32"/>
          <w:szCs w:val="32"/>
          <w:highlight w:val="none"/>
          <w:lang w:eastAsia="zh-CN" w:bidi="ar"/>
        </w:rPr>
        <w:t>云南</w:t>
      </w:r>
      <w:r>
        <w:rPr>
          <w:rFonts w:hint="default" w:ascii="Times New Roman" w:hAnsi="Times New Roman" w:eastAsia="方正仿宋_GBK" w:cs="Times New Roman"/>
          <w:color w:val="auto"/>
          <w:kern w:val="0"/>
          <w:sz w:val="32"/>
          <w:szCs w:val="32"/>
          <w:highlight w:val="none"/>
          <w:lang w:bidi="ar"/>
        </w:rPr>
        <w:t>省院士</w:t>
      </w:r>
      <w:r>
        <w:rPr>
          <w:rFonts w:hint="default" w:ascii="Times New Roman" w:hAnsi="Times New Roman" w:eastAsia="方正仿宋_GBK" w:cs="Times New Roman"/>
          <w:color w:val="auto"/>
          <w:kern w:val="0"/>
          <w:sz w:val="32"/>
          <w:szCs w:val="32"/>
          <w:highlight w:val="none"/>
          <w:lang w:eastAsia="zh-CN" w:bidi="ar"/>
        </w:rPr>
        <w:t>专家</w:t>
      </w:r>
      <w:r>
        <w:rPr>
          <w:rFonts w:hint="default" w:ascii="Times New Roman" w:hAnsi="Times New Roman" w:eastAsia="方正仿宋_GBK" w:cs="Times New Roman"/>
          <w:color w:val="auto"/>
          <w:kern w:val="0"/>
          <w:sz w:val="32"/>
          <w:szCs w:val="32"/>
          <w:highlight w:val="none"/>
          <w:lang w:bidi="ar"/>
        </w:rPr>
        <w:t>工作站管理办法》印发你们，请遵照执行。</w:t>
      </w:r>
    </w:p>
    <w:p w14:paraId="0EB9CA49">
      <w:pPr>
        <w:pStyle w:val="8"/>
        <w:spacing w:before="0" w:beforeAutospacing="0" w:after="0" w:afterAutospacing="0" w:line="560" w:lineRule="exact"/>
        <w:jc w:val="center"/>
        <w:rPr>
          <w:rFonts w:hint="default" w:ascii="Times New Roman" w:hAnsi="Times New Roman" w:eastAsia="方正小标宋简体" w:cs="Times New Roman"/>
          <w:color w:val="auto"/>
          <w:sz w:val="44"/>
          <w:szCs w:val="44"/>
          <w:highlight w:val="none"/>
        </w:rPr>
      </w:pPr>
    </w:p>
    <w:p w14:paraId="0D656EB9">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p>
    <w:p w14:paraId="085F2920">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p>
    <w:p w14:paraId="1DF1125F">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p>
    <w:p w14:paraId="15E43B8E">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中共云南省委组织部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云南省科学技术厅</w:t>
      </w:r>
    </w:p>
    <w:p w14:paraId="7387B321">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p>
    <w:p w14:paraId="4EFE9F3F">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p>
    <w:p w14:paraId="2A173AAB">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云南省财政厅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云南省人力资源和社会保障厅 </w:t>
      </w:r>
    </w:p>
    <w:p w14:paraId="59D0E3C6">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p>
    <w:p w14:paraId="37B67465">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p>
    <w:p w14:paraId="15644D65">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云南省科学技术协会</w:t>
      </w:r>
    </w:p>
    <w:p w14:paraId="698E8C90">
      <w:pPr>
        <w:pStyle w:val="8"/>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p>
    <w:p w14:paraId="498B77C9">
      <w:pPr>
        <w:pStyle w:val="8"/>
        <w:spacing w:before="0" w:beforeAutospacing="0" w:after="0" w:afterAutospacing="0" w:line="560" w:lineRule="exact"/>
        <w:ind w:firstLine="0" w:firstLineChars="0"/>
        <w:jc w:val="both"/>
        <w:rPr>
          <w:rFonts w:hint="default"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2026年</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日</w:t>
      </w:r>
    </w:p>
    <w:p w14:paraId="0E5381BC">
      <w:pPr>
        <w:rPr>
          <w:rFonts w:hint="eastAsia" w:ascii="黑体" w:hAnsi="黑体" w:eastAsia="黑体" w:cs="黑体"/>
          <w:sz w:val="32"/>
          <w:szCs w:val="32"/>
        </w:rPr>
      </w:pPr>
      <w:r>
        <w:rPr>
          <w:rFonts w:hint="eastAsia" w:ascii="黑体" w:hAnsi="黑体" w:eastAsia="黑体" w:cs="黑体"/>
          <w:sz w:val="32"/>
          <w:szCs w:val="32"/>
        </w:rPr>
        <w:br w:type="page"/>
      </w:r>
    </w:p>
    <w:p w14:paraId="1155ABA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color w:val="auto"/>
          <w:kern w:val="2"/>
          <w:sz w:val="44"/>
          <w:szCs w:val="44"/>
          <w:lang w:val="en-US" w:eastAsia="zh-CN" w:bidi="ar-SA"/>
        </w:rPr>
      </w:pPr>
    </w:p>
    <w:p w14:paraId="38A5666A">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云南省院士专家工作站管理办法</w:t>
      </w:r>
    </w:p>
    <w:p w14:paraId="7AAFEDC7">
      <w:pPr>
        <w:pStyle w:val="8"/>
        <w:tabs>
          <w:tab w:val="left" w:pos="715"/>
          <w:tab w:val="center" w:pos="4482"/>
        </w:tabs>
        <w:spacing w:before="0" w:beforeAutospacing="0" w:after="0" w:afterAutospacing="0" w:line="560" w:lineRule="exact"/>
        <w:jc w:val="left"/>
        <w:rPr>
          <w:rFonts w:ascii="黑体" w:eastAsia="黑体" w:cs="黑体"/>
          <w:color w:val="auto"/>
          <w:sz w:val="31"/>
          <w:szCs w:val="31"/>
          <w:highlight w:val="none"/>
        </w:rPr>
      </w:pPr>
      <w:r>
        <w:rPr>
          <w:rFonts w:hint="eastAsia" w:ascii="方正楷体_GBK" w:hAnsi="方正楷体_GBK" w:eastAsia="方正楷体_GBK" w:cs="方正楷体_GBK"/>
          <w:color w:val="auto"/>
          <w:sz w:val="32"/>
          <w:szCs w:val="32"/>
          <w:highlight w:val="none"/>
          <w:lang w:eastAsia="zh-CN"/>
        </w:rPr>
        <w:tab/>
      </w:r>
      <w:r>
        <w:rPr>
          <w:rFonts w:hint="eastAsia" w:ascii="方正楷体_GBK" w:hAnsi="方正楷体_GBK" w:eastAsia="方正楷体_GBK" w:cs="方正楷体_GBK"/>
          <w:color w:val="auto"/>
          <w:sz w:val="32"/>
          <w:szCs w:val="32"/>
          <w:highlight w:val="none"/>
          <w:lang w:eastAsia="zh-CN"/>
        </w:rPr>
        <w:tab/>
      </w:r>
    </w:p>
    <w:p w14:paraId="5FA10D70">
      <w:pPr>
        <w:pStyle w:val="8"/>
        <w:spacing w:before="0" w:beforeAutospacing="0" w:after="0" w:afterAutospacing="0" w:line="560" w:lineRule="exact"/>
        <w:jc w:val="center"/>
        <w:rPr>
          <w:rFonts w:ascii="fansong" w:hAnsi="fansong" w:eastAsia="fansong" w:cs="fansong"/>
          <w:color w:val="auto"/>
          <w:sz w:val="31"/>
          <w:szCs w:val="31"/>
          <w:highlight w:val="none"/>
        </w:rPr>
      </w:pPr>
      <w:r>
        <w:rPr>
          <w:rFonts w:hint="eastAsia" w:ascii="黑体" w:eastAsia="黑体" w:cs="黑体"/>
          <w:color w:val="auto"/>
          <w:sz w:val="31"/>
          <w:szCs w:val="31"/>
          <w:highlight w:val="none"/>
        </w:rPr>
        <w:t>第一章　总　则</w:t>
      </w:r>
    </w:p>
    <w:p w14:paraId="0E9D5DD0">
      <w:pPr>
        <w:pStyle w:val="8"/>
        <w:spacing w:before="0" w:beforeAutospacing="0" w:after="0" w:afterAutospacing="0" w:line="560" w:lineRule="exact"/>
        <w:ind w:firstLine="420"/>
        <w:jc w:val="both"/>
        <w:rPr>
          <w:rFonts w:ascii="fansong" w:hAnsi="fansong" w:eastAsia="fansong" w:cs="fansong"/>
          <w:color w:val="auto"/>
          <w:sz w:val="31"/>
          <w:szCs w:val="31"/>
          <w:highlight w:val="none"/>
        </w:rPr>
      </w:pPr>
      <w:r>
        <w:rPr>
          <w:rFonts w:ascii="fansong" w:hAnsi="fansong" w:eastAsia="fansong" w:cs="fansong"/>
          <w:color w:val="auto"/>
          <w:sz w:val="31"/>
          <w:szCs w:val="31"/>
          <w:highlight w:val="none"/>
        </w:rPr>
        <w:t> </w:t>
      </w:r>
    </w:p>
    <w:p w14:paraId="068C0058">
      <w:pPr>
        <w:snapToGrid w:val="0"/>
        <w:spacing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sz w:val="31"/>
          <w:szCs w:val="31"/>
          <w:highlight w:val="none"/>
        </w:rPr>
        <w:t>第一条</w:t>
      </w:r>
      <w:r>
        <w:rPr>
          <w:rFonts w:hint="eastAsia" w:ascii="仿宋_GB2312" w:hAnsi="fansong" w:cs="仿宋_GB2312"/>
          <w:color w:val="auto"/>
          <w:sz w:val="31"/>
          <w:szCs w:val="31"/>
          <w:highlight w:val="none"/>
        </w:rPr>
        <w:t>　</w:t>
      </w:r>
      <w:r>
        <w:rPr>
          <w:rFonts w:hint="eastAsia" w:ascii="Times New Roman" w:hAnsi="Times New Roman" w:eastAsia="方正仿宋_GBK" w:cs="Times New Roman"/>
          <w:color w:val="auto"/>
          <w:kern w:val="0"/>
          <w:sz w:val="32"/>
          <w:szCs w:val="32"/>
          <w:highlight w:val="none"/>
          <w:lang w:val="en-US" w:eastAsia="zh-CN" w:bidi="ar"/>
        </w:rPr>
        <w:t>为深入贯彻落实习近平总书记关于科技创新的重要论述和考察云南重要讲话精神，锚定省委“3815”战略发展目标，全面提升云南省院士专家工作站（以下简称工作站）服务管理水平，充分发挥省外院士、专家对云南科技创新和产业发展的助推作用，制定本办法。</w:t>
      </w:r>
    </w:p>
    <w:p w14:paraId="141351E5">
      <w:pPr>
        <w:snapToGrid w:val="0"/>
        <w:spacing w:line="560" w:lineRule="exact"/>
        <w:ind w:firstLine="618"/>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sz w:val="31"/>
          <w:szCs w:val="31"/>
          <w:highlight w:val="none"/>
          <w:lang w:val="en-US" w:eastAsia="zh-CN"/>
        </w:rPr>
        <w:t>第二条</w:t>
      </w:r>
      <w:r>
        <w:rPr>
          <w:rFonts w:hint="eastAsia" w:ascii="Times New Roman" w:hAnsi="Times New Roman" w:eastAsia="方正仿宋_GBK" w:cs="Times New Roman"/>
          <w:color w:val="auto"/>
          <w:kern w:val="0"/>
          <w:sz w:val="32"/>
          <w:szCs w:val="32"/>
          <w:highlight w:val="none"/>
          <w:lang w:val="en-US" w:eastAsia="zh-CN" w:bidi="ar"/>
        </w:rPr>
        <w:t>　支持省外院士、专家及其科研团队与省内企事业单位共同组建省级科技创新平台，旨在围绕云南“三大经济”（资源经济、园区经济、口岸经济），加快构建具有云南特色优势的现代化产业体系，开展关键技术联合攻关，培养科技创新人才队伍，加快科技成果转化应用及产业化，持续提升云南科技创新能力与核心竞争力，促进云南经济社会高质量发展。</w:t>
      </w:r>
    </w:p>
    <w:p w14:paraId="1B29FD1F">
      <w:pPr>
        <w:pStyle w:val="8"/>
        <w:spacing w:before="0" w:beforeAutospacing="0" w:after="0" w:afterAutospacing="0" w:line="560" w:lineRule="exact"/>
        <w:ind w:firstLine="620" w:firstLineChars="200"/>
        <w:jc w:val="both"/>
        <w:rPr>
          <w:rFonts w:ascii="黑体" w:eastAsia="黑体" w:cs="黑体"/>
          <w:color w:val="auto"/>
          <w:sz w:val="31"/>
          <w:szCs w:val="31"/>
          <w:highlight w:val="none"/>
        </w:rPr>
      </w:pPr>
      <w:r>
        <w:rPr>
          <w:rFonts w:hint="eastAsia" w:ascii="黑体" w:eastAsia="黑体" w:cs="黑体"/>
          <w:color w:val="auto"/>
          <w:sz w:val="31"/>
          <w:szCs w:val="31"/>
          <w:highlight w:val="none"/>
        </w:rPr>
        <w:t>第三条</w:t>
      </w:r>
      <w:r>
        <w:rPr>
          <w:rFonts w:hint="eastAsia" w:ascii="仿宋_GB2312" w:hAnsi="fansong" w:eastAsia="仿宋_GB2312" w:cs="仿宋_GB2312"/>
          <w:color w:val="auto"/>
          <w:sz w:val="31"/>
          <w:szCs w:val="31"/>
          <w:highlight w:val="none"/>
        </w:rPr>
        <w:t>　</w:t>
      </w:r>
      <w:r>
        <w:rPr>
          <w:rFonts w:hint="eastAsia" w:ascii="Times New Roman" w:hAnsi="Times New Roman" w:eastAsia="方正仿宋_GBK" w:cs="Times New Roman"/>
          <w:color w:val="auto"/>
          <w:sz w:val="32"/>
          <w:szCs w:val="32"/>
          <w:highlight w:val="none"/>
        </w:rPr>
        <w:t>工作站建设坚持“聚焦重点、外引内培、注重实效”的原则。</w:t>
      </w:r>
    </w:p>
    <w:p w14:paraId="2FDD806D">
      <w:pPr>
        <w:pStyle w:val="8"/>
        <w:spacing w:before="0" w:beforeAutospacing="0" w:after="0" w:afterAutospacing="0" w:line="560" w:lineRule="exact"/>
        <w:jc w:val="both"/>
        <w:rPr>
          <w:rFonts w:ascii="fansong" w:hAnsi="fansong" w:eastAsia="fansong" w:cs="fansong"/>
          <w:color w:val="auto"/>
          <w:sz w:val="31"/>
          <w:szCs w:val="31"/>
          <w:highlight w:val="none"/>
        </w:rPr>
      </w:pPr>
    </w:p>
    <w:p w14:paraId="44FA50D9">
      <w:pPr>
        <w:pStyle w:val="8"/>
        <w:spacing w:before="0" w:beforeAutospacing="0" w:after="0" w:afterAutospacing="0" w:line="560" w:lineRule="exact"/>
        <w:jc w:val="center"/>
        <w:rPr>
          <w:rFonts w:ascii="fansong" w:hAnsi="fansong" w:eastAsia="fansong" w:cs="fansong"/>
          <w:color w:val="auto"/>
          <w:sz w:val="31"/>
          <w:szCs w:val="31"/>
          <w:highlight w:val="none"/>
        </w:rPr>
      </w:pPr>
      <w:r>
        <w:rPr>
          <w:rFonts w:hint="eastAsia" w:ascii="黑体" w:eastAsia="黑体" w:cs="黑体"/>
          <w:color w:val="auto"/>
          <w:sz w:val="31"/>
          <w:szCs w:val="31"/>
          <w:highlight w:val="none"/>
        </w:rPr>
        <w:t>第二章　工作机制</w:t>
      </w:r>
    </w:p>
    <w:p w14:paraId="7423CB52">
      <w:pPr>
        <w:pStyle w:val="8"/>
        <w:spacing w:before="0" w:beforeAutospacing="0" w:after="0" w:afterAutospacing="0" w:line="560" w:lineRule="exact"/>
        <w:jc w:val="center"/>
        <w:rPr>
          <w:rFonts w:ascii="fansong" w:hAnsi="fansong" w:eastAsia="fansong" w:cs="fansong"/>
          <w:color w:val="auto"/>
          <w:sz w:val="31"/>
          <w:szCs w:val="31"/>
          <w:highlight w:val="none"/>
        </w:rPr>
      </w:pPr>
      <w:r>
        <w:rPr>
          <w:rFonts w:ascii="fansong" w:hAnsi="fansong" w:eastAsia="fansong" w:cs="fansong"/>
          <w:color w:val="auto"/>
          <w:sz w:val="31"/>
          <w:szCs w:val="31"/>
          <w:highlight w:val="none"/>
        </w:rPr>
        <w:t> </w:t>
      </w:r>
    </w:p>
    <w:p w14:paraId="04EFF935">
      <w:pPr>
        <w:pStyle w:val="8"/>
        <w:spacing w:before="0" w:beforeAutospacing="0" w:after="0" w:afterAutospacing="0" w:line="560" w:lineRule="exact"/>
        <w:ind w:firstLine="620" w:firstLineChars="200"/>
        <w:jc w:val="both"/>
        <w:rPr>
          <w:rFonts w:ascii="黑体" w:eastAsia="黑体" w:cs="黑体"/>
          <w:color w:val="auto"/>
          <w:sz w:val="31"/>
          <w:szCs w:val="31"/>
          <w:highlight w:val="none"/>
        </w:rPr>
      </w:pPr>
      <w:r>
        <w:rPr>
          <w:rFonts w:hint="eastAsia" w:ascii="黑体" w:eastAsia="黑体" w:cs="黑体"/>
          <w:color w:val="auto"/>
          <w:sz w:val="31"/>
          <w:szCs w:val="31"/>
          <w:highlight w:val="none"/>
        </w:rPr>
        <w:t>第四条</w:t>
      </w:r>
      <w:r>
        <w:rPr>
          <w:rFonts w:hint="eastAsia" w:ascii="仿宋_GB2312" w:hAnsi="fansong" w:eastAsia="仿宋_GB2312" w:cs="仿宋_GB2312"/>
          <w:color w:val="auto"/>
          <w:sz w:val="31"/>
          <w:szCs w:val="31"/>
          <w:highlight w:val="none"/>
          <w:lang w:val="en-US" w:eastAsia="zh-CN"/>
        </w:rPr>
        <w:t xml:space="preserve">  </w:t>
      </w:r>
      <w:r>
        <w:rPr>
          <w:rFonts w:hint="eastAsia" w:ascii="Times New Roman" w:hAnsi="Times New Roman" w:eastAsia="方正仿宋_GBK" w:cs="Times New Roman"/>
          <w:color w:val="auto"/>
          <w:sz w:val="32"/>
          <w:szCs w:val="32"/>
          <w:highlight w:val="none"/>
        </w:rPr>
        <w:t>在省委人才工作领导小组的领导下，设立</w:t>
      </w:r>
      <w:r>
        <w:rPr>
          <w:rFonts w:hint="eastAsia" w:ascii="Times New Roman" w:hAnsi="Times New Roman" w:eastAsia="方正仿宋_GBK" w:cs="Times New Roman"/>
          <w:color w:val="auto"/>
          <w:sz w:val="32"/>
          <w:szCs w:val="32"/>
          <w:highlight w:val="none"/>
          <w:lang w:val="en-US" w:eastAsia="zh-CN"/>
        </w:rPr>
        <w:t>云南</w:t>
      </w:r>
      <w:r>
        <w:rPr>
          <w:rFonts w:hint="eastAsia" w:ascii="Times New Roman" w:hAnsi="Times New Roman" w:eastAsia="方正仿宋_GBK" w:cs="Times New Roman"/>
          <w:color w:val="auto"/>
          <w:sz w:val="32"/>
          <w:szCs w:val="32"/>
          <w:highlight w:val="none"/>
        </w:rPr>
        <w:t>省院士专家工作站管理委员会（以下简称工作站管委会），主要负责工作站的组织领导、统筹协调、政策制定，审议重大事项，协调解决重大问题，由省委组织部、省科技厅、省财政厅、省人力资源社会保障厅</w:t>
      </w:r>
      <w:r>
        <w:rPr>
          <w:rFonts w:hint="eastAsia" w:ascii="Times New Roman" w:hAnsi="Times New Roman" w:eastAsia="方正仿宋_GBK" w:cs="Times New Roman"/>
          <w:color w:val="auto"/>
          <w:sz w:val="32"/>
          <w:szCs w:val="32"/>
          <w:highlight w:val="none"/>
          <w:lang w:eastAsia="zh-CN"/>
        </w:rPr>
        <w:t>、省科协</w:t>
      </w:r>
      <w:r>
        <w:rPr>
          <w:rFonts w:hint="eastAsia" w:ascii="Times New Roman" w:hAnsi="Times New Roman" w:eastAsia="方正仿宋_GBK" w:cs="Times New Roman"/>
          <w:color w:val="auto"/>
          <w:sz w:val="32"/>
          <w:szCs w:val="32"/>
          <w:highlight w:val="none"/>
        </w:rPr>
        <w:t>等部门（</w:t>
      </w:r>
      <w:r>
        <w:rPr>
          <w:rFonts w:hint="eastAsia" w:ascii="Times New Roman" w:hAnsi="Times New Roman" w:eastAsia="方正仿宋_GBK" w:cs="Times New Roman"/>
          <w:color w:val="auto"/>
          <w:sz w:val="32"/>
          <w:szCs w:val="32"/>
          <w:highlight w:val="none"/>
          <w:lang w:val="en-US" w:eastAsia="zh-CN"/>
        </w:rPr>
        <w:t>单位</w:t>
      </w:r>
      <w:r>
        <w:rPr>
          <w:rFonts w:hint="eastAsia" w:ascii="Times New Roman" w:hAnsi="Times New Roman" w:eastAsia="方正仿宋_GBK" w:cs="Times New Roman"/>
          <w:color w:val="auto"/>
          <w:sz w:val="32"/>
          <w:szCs w:val="32"/>
          <w:highlight w:val="none"/>
        </w:rPr>
        <w:t>）共同组建。</w:t>
      </w:r>
    </w:p>
    <w:p w14:paraId="6E52CA89">
      <w:pPr>
        <w:pStyle w:val="8"/>
        <w:spacing w:before="0" w:beforeAutospacing="0" w:after="0" w:afterAutospacing="0" w:line="560" w:lineRule="exact"/>
        <w:ind w:firstLine="620" w:firstLineChars="200"/>
        <w:jc w:val="both"/>
        <w:rPr>
          <w:rFonts w:hint="eastAsia" w:ascii="Times New Roman" w:hAnsi="Times New Roman" w:eastAsia="方正仿宋_GBK" w:cs="Times New Roman"/>
          <w:color w:val="auto"/>
          <w:sz w:val="32"/>
          <w:szCs w:val="32"/>
          <w:highlight w:val="none"/>
        </w:rPr>
      </w:pPr>
      <w:r>
        <w:rPr>
          <w:rFonts w:hint="eastAsia" w:ascii="黑体" w:eastAsia="黑体" w:cs="黑体"/>
          <w:color w:val="auto"/>
          <w:sz w:val="31"/>
          <w:szCs w:val="31"/>
          <w:highlight w:val="none"/>
        </w:rPr>
        <w:t>第五条</w:t>
      </w:r>
      <w:r>
        <w:rPr>
          <w:rFonts w:hint="eastAsia" w:ascii="仿宋_GB2312" w:hAnsi="fansong" w:eastAsia="仿宋_GB2312" w:cs="仿宋_GB2312"/>
          <w:color w:val="auto"/>
          <w:sz w:val="31"/>
          <w:szCs w:val="31"/>
          <w:highlight w:val="none"/>
        </w:rPr>
        <w:t>　</w:t>
      </w:r>
      <w:r>
        <w:rPr>
          <w:rFonts w:hint="eastAsia" w:ascii="Times New Roman" w:hAnsi="Times New Roman" w:eastAsia="方正仿宋_GBK" w:cs="Times New Roman"/>
          <w:color w:val="auto"/>
          <w:sz w:val="32"/>
          <w:szCs w:val="32"/>
          <w:highlight w:val="none"/>
        </w:rPr>
        <w:t>工作站管委会下设</w:t>
      </w:r>
      <w:r>
        <w:rPr>
          <w:rFonts w:hint="eastAsia" w:ascii="Times New Roman" w:hAnsi="Times New Roman" w:eastAsia="方正仿宋_GBK" w:cs="Times New Roman"/>
          <w:color w:val="auto"/>
          <w:sz w:val="32"/>
          <w:szCs w:val="32"/>
          <w:highlight w:val="none"/>
          <w:lang w:val="en-US" w:eastAsia="zh-CN"/>
        </w:rPr>
        <w:t>云南</w:t>
      </w:r>
      <w:r>
        <w:rPr>
          <w:rFonts w:hint="eastAsia" w:ascii="Times New Roman" w:hAnsi="Times New Roman" w:eastAsia="方正仿宋_GBK" w:cs="Times New Roman"/>
          <w:color w:val="auto"/>
          <w:sz w:val="32"/>
          <w:szCs w:val="32"/>
          <w:highlight w:val="none"/>
        </w:rPr>
        <w:t>省院士专家工作站管理委员会办公室（以下简称工作站办公室），设在省科技厅，承担工作站管委会的日常服务管理工作。</w:t>
      </w:r>
    </w:p>
    <w:p w14:paraId="40A332DE">
      <w:pPr>
        <w:pStyle w:val="8"/>
        <w:spacing w:before="0" w:beforeAutospacing="0" w:after="0" w:afterAutospacing="0" w:line="560" w:lineRule="exact"/>
        <w:ind w:firstLine="620" w:firstLineChars="200"/>
        <w:jc w:val="both"/>
        <w:rPr>
          <w:rFonts w:hint="eastAsia" w:ascii="Times New Roman" w:hAnsi="Times New Roman" w:eastAsia="方正仿宋_GBK" w:cs="Times New Roman"/>
          <w:color w:val="auto"/>
          <w:sz w:val="32"/>
          <w:szCs w:val="32"/>
          <w:highlight w:val="none"/>
        </w:rPr>
      </w:pPr>
      <w:r>
        <w:rPr>
          <w:rFonts w:hint="eastAsia" w:ascii="黑体" w:eastAsia="黑体" w:cs="黑体"/>
          <w:color w:val="auto"/>
          <w:sz w:val="31"/>
          <w:szCs w:val="31"/>
          <w:highlight w:val="none"/>
        </w:rPr>
        <w:t>第六条</w:t>
      </w:r>
      <w:r>
        <w:rPr>
          <w:rFonts w:hint="eastAsia"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rPr>
        <w:t>工作站推荐部门是具有项目推荐和管理职能的部门（机构）。主要包括州（市）科技主管部门，省直委办厅局、省属事业单位、省属企业、中央驻滇单位、国家级开发区管委会等所属科技管理部门（机构）。负责申报工作站的审核、推荐工作，审核工作站合同书；开展工作站建设监督；协调解决工作站建设中的困难和问题。</w:t>
      </w:r>
    </w:p>
    <w:p w14:paraId="78F9456A">
      <w:pPr>
        <w:pStyle w:val="8"/>
        <w:spacing w:before="0" w:beforeAutospacing="0" w:after="0" w:afterAutospacing="0" w:line="560" w:lineRule="exact"/>
        <w:ind w:firstLine="620" w:firstLineChars="200"/>
        <w:jc w:val="both"/>
        <w:rPr>
          <w:rFonts w:hint="eastAsia" w:ascii="Times New Roman" w:hAnsi="Times New Roman" w:eastAsia="方正仿宋_GBK" w:cs="Times New Roman"/>
          <w:color w:val="auto"/>
          <w:sz w:val="32"/>
          <w:szCs w:val="32"/>
          <w:highlight w:val="none"/>
        </w:rPr>
      </w:pPr>
      <w:r>
        <w:rPr>
          <w:rFonts w:hint="eastAsia" w:ascii="黑体" w:eastAsia="黑体" w:cs="黑体"/>
          <w:color w:val="auto"/>
          <w:sz w:val="31"/>
          <w:szCs w:val="31"/>
          <w:highlight w:val="none"/>
        </w:rPr>
        <w:t xml:space="preserve">第七条  </w:t>
      </w:r>
      <w:r>
        <w:rPr>
          <w:rFonts w:hint="eastAsia" w:ascii="Times New Roman" w:hAnsi="Times New Roman" w:eastAsia="方正仿宋_GBK" w:cs="Times New Roman"/>
          <w:color w:val="auto"/>
          <w:sz w:val="32"/>
          <w:szCs w:val="32"/>
          <w:highlight w:val="none"/>
        </w:rPr>
        <w:t>建站单位承担工作站建设运行与管理的主体责任。职责如下：</w:t>
      </w:r>
    </w:p>
    <w:p w14:paraId="6391A840">
      <w:pPr>
        <w:pStyle w:val="8"/>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（一）负责与院士专家共同制定3年工作计划</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确定年度工作目标任务</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提出经费筹措和管理使用方案、工作成果收益分配方案等</w:t>
      </w:r>
      <w:r>
        <w:rPr>
          <w:rFonts w:hint="eastAsia" w:ascii="Times New Roman" w:hAnsi="Times New Roman" w:eastAsia="方正仿宋_GBK" w:cs="Times New Roman"/>
          <w:color w:val="auto"/>
          <w:sz w:val="32"/>
          <w:szCs w:val="32"/>
          <w:highlight w:val="none"/>
          <w:lang w:eastAsia="zh-CN"/>
        </w:rPr>
        <w:t>，并做好工作站的日常管理工作</w:t>
      </w:r>
      <w:r>
        <w:rPr>
          <w:rFonts w:hint="eastAsia" w:ascii="Times New Roman" w:hAnsi="Times New Roman" w:eastAsia="方正仿宋_GBK" w:cs="Times New Roman"/>
          <w:color w:val="auto"/>
          <w:sz w:val="32"/>
          <w:szCs w:val="32"/>
          <w:highlight w:val="none"/>
        </w:rPr>
        <w:t>；</w:t>
      </w:r>
    </w:p>
    <w:p w14:paraId="6C9B9CE0">
      <w:pPr>
        <w:pStyle w:val="8"/>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rPr>
        <w:t>（二）</w:t>
      </w:r>
      <w:r>
        <w:rPr>
          <w:rFonts w:hint="eastAsia" w:ascii="Times New Roman" w:hAnsi="Times New Roman" w:eastAsia="方正仿宋_GBK" w:cs="Times New Roman"/>
          <w:color w:val="auto"/>
          <w:sz w:val="32"/>
          <w:szCs w:val="32"/>
          <w:highlight w:val="none"/>
          <w:lang w:eastAsia="zh-CN"/>
        </w:rPr>
        <w:t>根据单位及项目实际，筹措相应</w:t>
      </w:r>
      <w:r>
        <w:rPr>
          <w:rFonts w:hint="eastAsia" w:ascii="Times New Roman" w:hAnsi="Times New Roman" w:eastAsia="方正仿宋_GBK" w:cs="Times New Roman"/>
          <w:color w:val="auto"/>
          <w:sz w:val="32"/>
          <w:szCs w:val="32"/>
          <w:highlight w:val="none"/>
        </w:rPr>
        <w:t>资金，落实工作站建设配套条件，建立稳定的研究团队</w:t>
      </w:r>
      <w:r>
        <w:rPr>
          <w:rFonts w:hint="eastAsia" w:ascii="Times New Roman" w:hAnsi="Times New Roman" w:eastAsia="方正仿宋_GBK" w:cs="Times New Roman"/>
          <w:color w:val="auto"/>
          <w:sz w:val="32"/>
          <w:szCs w:val="32"/>
          <w:highlight w:val="none"/>
          <w:lang w:eastAsia="zh-CN"/>
        </w:rPr>
        <w:t>；</w:t>
      </w:r>
    </w:p>
    <w:p w14:paraId="48645465">
      <w:pPr>
        <w:pStyle w:val="8"/>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rPr>
        <w:t>（三）建立健全与工作站建设实施相关的科研、财务、科研</w:t>
      </w:r>
      <w:r>
        <w:rPr>
          <w:rFonts w:hint="eastAsia" w:ascii="Times New Roman" w:hAnsi="Times New Roman" w:eastAsia="方正仿宋_GBK" w:cs="Times New Roman"/>
          <w:color w:val="auto"/>
          <w:sz w:val="32"/>
          <w:szCs w:val="32"/>
          <w:highlight w:val="none"/>
        </w:rPr>
        <w:t>（财务）助理、科研诚信等内部管理制度</w:t>
      </w:r>
      <w:r>
        <w:rPr>
          <w:rFonts w:hint="eastAsia" w:ascii="Times New Roman" w:hAnsi="Times New Roman" w:eastAsia="方正仿宋_GBK" w:cs="Times New Roman"/>
          <w:color w:val="auto"/>
          <w:sz w:val="32"/>
          <w:szCs w:val="32"/>
          <w:highlight w:val="none"/>
          <w:lang w:eastAsia="zh-CN"/>
        </w:rPr>
        <w:t>；</w:t>
      </w:r>
    </w:p>
    <w:p w14:paraId="6A6C14BD">
      <w:pPr>
        <w:pStyle w:val="8"/>
        <w:spacing w:before="0" w:beforeAutospacing="0" w:after="0" w:afterAutospacing="0" w:line="560" w:lineRule="exact"/>
        <w:ind w:firstLine="640" w:firstLineChars="200"/>
        <w:jc w:val="both"/>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（四）配合工作站办公室、院士专家所在主管单位和所属行政机构做好相关工作</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协调解决工作站运行中的有关问题，与院士专家共同协调好</w:t>
      </w:r>
      <w:r>
        <w:rPr>
          <w:rFonts w:hint="eastAsia" w:ascii="Times New Roman" w:hAnsi="Times New Roman" w:eastAsia="方正仿宋_GBK" w:cs="Times New Roman"/>
          <w:color w:val="auto"/>
          <w:sz w:val="32"/>
          <w:szCs w:val="32"/>
          <w:highlight w:val="none"/>
          <w:lang w:eastAsia="zh-CN"/>
        </w:rPr>
        <w:t>其</w:t>
      </w:r>
      <w:r>
        <w:rPr>
          <w:rFonts w:hint="eastAsia" w:ascii="Times New Roman" w:hAnsi="Times New Roman" w:eastAsia="方正仿宋_GBK" w:cs="Times New Roman"/>
          <w:color w:val="auto"/>
          <w:sz w:val="32"/>
          <w:szCs w:val="32"/>
          <w:highlight w:val="none"/>
        </w:rPr>
        <w:t>所在单位、合作建站单位的关系；</w:t>
      </w:r>
    </w:p>
    <w:p w14:paraId="13D3CCF6">
      <w:pPr>
        <w:pStyle w:val="8"/>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rPr>
        <w:t>（五）按要求提交工作站建设执行情况、预算执行情况（含年度报告）</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绩效自评（评价）报告、科技报告、技术合同登记、成果登记等相关材料</w:t>
      </w:r>
      <w:r>
        <w:rPr>
          <w:rFonts w:hint="eastAsia" w:ascii="Times New Roman" w:hAnsi="Times New Roman" w:eastAsia="方正仿宋_GBK" w:cs="Times New Roman"/>
          <w:color w:val="auto"/>
          <w:sz w:val="32"/>
          <w:szCs w:val="32"/>
          <w:highlight w:val="none"/>
          <w:lang w:eastAsia="zh-CN"/>
        </w:rPr>
        <w:t>；</w:t>
      </w:r>
    </w:p>
    <w:p w14:paraId="02007FFB">
      <w:pPr>
        <w:pStyle w:val="8"/>
        <w:spacing w:before="0" w:beforeAutospacing="0" w:after="0" w:afterAutospacing="0" w:line="560" w:lineRule="exact"/>
        <w:ind w:firstLine="640" w:firstLineChars="200"/>
        <w:jc w:val="both"/>
        <w:rPr>
          <w:rFonts w:ascii="黑体" w:eastAsia="黑体" w:cs="黑体"/>
          <w:color w:val="auto"/>
          <w:sz w:val="31"/>
          <w:szCs w:val="31"/>
          <w:highlight w:val="none"/>
        </w:rPr>
      </w:pPr>
      <w:r>
        <w:rPr>
          <w:rFonts w:hint="eastAsia" w:ascii="Times New Roman" w:hAnsi="Times New Roman" w:eastAsia="方正仿宋_GBK" w:cs="Times New Roman"/>
          <w:color w:val="auto"/>
          <w:sz w:val="32"/>
          <w:szCs w:val="32"/>
          <w:highlight w:val="none"/>
        </w:rPr>
        <w:t>（六）积极组织院士专家及其</w:t>
      </w:r>
      <w:r>
        <w:rPr>
          <w:rFonts w:hint="eastAsia" w:ascii="Times New Roman" w:hAnsi="Times New Roman" w:eastAsia="方正仿宋_GBK" w:cs="Times New Roman"/>
          <w:color w:val="auto"/>
          <w:sz w:val="32"/>
          <w:szCs w:val="32"/>
          <w:highlight w:val="none"/>
          <w:lang w:val="en-US" w:eastAsia="zh-CN"/>
        </w:rPr>
        <w:t>科研</w:t>
      </w:r>
      <w:r>
        <w:rPr>
          <w:rFonts w:hint="eastAsia" w:ascii="Times New Roman" w:hAnsi="Times New Roman" w:eastAsia="方正仿宋_GBK" w:cs="Times New Roman"/>
          <w:color w:val="auto"/>
          <w:sz w:val="32"/>
          <w:szCs w:val="32"/>
          <w:highlight w:val="none"/>
        </w:rPr>
        <w:t>团队共同申报各级科技计划项目并组织实施等。</w:t>
      </w:r>
    </w:p>
    <w:p w14:paraId="67F995D8">
      <w:pPr>
        <w:pStyle w:val="8"/>
        <w:spacing w:before="0" w:beforeAutospacing="0" w:after="0" w:afterAutospacing="0" w:line="560" w:lineRule="exact"/>
        <w:ind w:firstLine="620" w:firstLineChars="200"/>
        <w:jc w:val="both"/>
        <w:rPr>
          <w:rFonts w:ascii="Times New Roman" w:hAnsi="Times New Roman" w:eastAsia="方正仿宋_GBK" w:cs="Times New Roman"/>
          <w:color w:val="auto"/>
          <w:sz w:val="32"/>
          <w:szCs w:val="32"/>
          <w:highlight w:val="none"/>
        </w:rPr>
      </w:pPr>
      <w:r>
        <w:rPr>
          <w:rFonts w:hint="eastAsia" w:ascii="黑体" w:eastAsia="黑体" w:cs="黑体"/>
          <w:color w:val="auto"/>
          <w:sz w:val="31"/>
          <w:szCs w:val="31"/>
          <w:highlight w:val="none"/>
        </w:rPr>
        <w:t>第八条</w:t>
      </w:r>
      <w:r>
        <w:rPr>
          <w:rFonts w:hint="eastAsia" w:ascii="仿宋_GB2312" w:hAnsi="fansong" w:eastAsia="仿宋_GB2312" w:cs="仿宋_GB2312"/>
          <w:color w:val="auto"/>
          <w:sz w:val="31"/>
          <w:szCs w:val="31"/>
          <w:highlight w:val="none"/>
        </w:rPr>
        <w:t>　</w:t>
      </w:r>
      <w:r>
        <w:rPr>
          <w:rFonts w:hint="eastAsia" w:ascii="Times New Roman" w:hAnsi="Times New Roman" w:eastAsia="方正仿宋_GBK" w:cs="Times New Roman"/>
          <w:color w:val="auto"/>
          <w:sz w:val="32"/>
          <w:szCs w:val="32"/>
          <w:highlight w:val="none"/>
        </w:rPr>
        <w:t>工作站的职责：</w:t>
      </w:r>
    </w:p>
    <w:p w14:paraId="3280A59C">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（一）针对我省特色优势产业、重点领域、重大工程需解决的关键技术难题，组织院士专家及其科研团队开展联合攻关、新产品研发及成果转化；</w:t>
      </w:r>
    </w:p>
    <w:p w14:paraId="09A1AF28">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（二）引进院士专家及其科研团队的创新成果，共同转化和产业化，培育自主知识产权和自主品牌，促进产学研合作；</w:t>
      </w:r>
    </w:p>
    <w:p w14:paraId="67D44B97">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（三）与院士专家及其科研团队联合培养云南科技创新人才；</w:t>
      </w:r>
    </w:p>
    <w:p w14:paraId="56AD0D87">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（四）与院士专家及其科研团队联合开展高层次学术或技术交流活动；</w:t>
      </w:r>
    </w:p>
    <w:p w14:paraId="0F03C946">
      <w:pPr>
        <w:pStyle w:val="8"/>
        <w:spacing w:before="0" w:beforeAutospacing="0" w:after="0" w:afterAutospacing="0" w:line="560" w:lineRule="exact"/>
        <w:ind w:firstLine="640" w:firstLineChars="200"/>
        <w:jc w:val="both"/>
        <w:rPr>
          <w:rFonts w:ascii="Times New Roman" w:hAnsi="Times New Roman" w:eastAsia="方正仿宋_GBK" w:cs="Times New Roman"/>
          <w:color w:val="auto"/>
          <w:sz w:val="32"/>
          <w:szCs w:val="32"/>
          <w:highlight w:val="none"/>
          <w:lang w:bidi="ar"/>
        </w:rPr>
      </w:pPr>
      <w:r>
        <w:rPr>
          <w:rFonts w:hint="eastAsia" w:ascii="Times New Roman" w:hAnsi="Times New Roman" w:eastAsia="方正仿宋_GBK" w:cs="Times New Roman"/>
          <w:color w:val="auto"/>
          <w:sz w:val="32"/>
          <w:szCs w:val="32"/>
          <w:highlight w:val="none"/>
        </w:rPr>
        <w:t>（五）依法依规开展其他科技创新和科学</w:t>
      </w:r>
      <w:r>
        <w:rPr>
          <w:rFonts w:hint="eastAsia" w:ascii="Times New Roman" w:hAnsi="Times New Roman" w:eastAsia="方正仿宋_GBK" w:cs="Times New Roman"/>
          <w:color w:val="auto"/>
          <w:sz w:val="32"/>
          <w:szCs w:val="32"/>
          <w:highlight w:val="none"/>
          <w:lang w:val="en-US" w:eastAsia="zh-CN"/>
        </w:rPr>
        <w:t>技术</w:t>
      </w:r>
      <w:r>
        <w:rPr>
          <w:rFonts w:hint="eastAsia" w:ascii="Times New Roman" w:hAnsi="Times New Roman" w:eastAsia="方正仿宋_GBK" w:cs="Times New Roman"/>
          <w:color w:val="auto"/>
          <w:sz w:val="32"/>
          <w:szCs w:val="32"/>
          <w:highlight w:val="none"/>
        </w:rPr>
        <w:t>普及活动。</w:t>
      </w:r>
    </w:p>
    <w:p w14:paraId="0B8C692D">
      <w:pPr>
        <w:pStyle w:val="8"/>
        <w:spacing w:before="0" w:beforeAutospacing="0" w:after="0" w:afterAutospacing="0" w:line="560" w:lineRule="exact"/>
        <w:ind w:firstLine="620" w:firstLineChars="200"/>
        <w:jc w:val="both"/>
        <w:rPr>
          <w:rFonts w:ascii="Times New Roman" w:hAnsi="Times New Roman" w:eastAsia="方正仿宋_GBK" w:cs="Times New Roman"/>
          <w:color w:val="auto"/>
          <w:sz w:val="32"/>
          <w:szCs w:val="32"/>
          <w:highlight w:val="none"/>
          <w:lang w:bidi="ar"/>
        </w:rPr>
      </w:pPr>
      <w:r>
        <w:rPr>
          <w:rFonts w:hint="eastAsia" w:ascii="黑体" w:eastAsia="黑体" w:cs="黑体"/>
          <w:color w:val="auto"/>
          <w:sz w:val="31"/>
          <w:szCs w:val="31"/>
          <w:highlight w:val="none"/>
          <w:lang w:bidi="ar"/>
        </w:rPr>
        <w:t>第九条</w:t>
      </w:r>
      <w:r>
        <w:rPr>
          <w:rFonts w:hint="eastAsia" w:ascii="Times New Roman" w:hAnsi="Times New Roman" w:eastAsia="方正仿宋_GBK" w:cs="Times New Roman"/>
          <w:color w:val="auto"/>
          <w:sz w:val="32"/>
          <w:szCs w:val="32"/>
          <w:highlight w:val="none"/>
          <w:lang w:bidi="ar"/>
        </w:rPr>
        <w:t xml:space="preserve"> </w:t>
      </w:r>
      <w:r>
        <w:rPr>
          <w:rFonts w:hint="eastAsia" w:ascii="Times New Roman" w:hAnsi="Times New Roman" w:eastAsia="方正仿宋_GBK" w:cs="Times New Roman"/>
          <w:color w:val="auto"/>
          <w:sz w:val="32"/>
          <w:szCs w:val="32"/>
          <w:highlight w:val="none"/>
        </w:rPr>
        <w:t xml:space="preserve"> 工作站负责人是工作站建设的直接责任人，承担工作站组织、协调、</w:t>
      </w:r>
      <w:r>
        <w:rPr>
          <w:rFonts w:hint="eastAsia" w:ascii="Times New Roman" w:hAnsi="Times New Roman" w:eastAsia="方正仿宋_GBK" w:cs="Times New Roman"/>
          <w:color w:val="auto"/>
          <w:sz w:val="32"/>
          <w:szCs w:val="32"/>
          <w:highlight w:val="none"/>
          <w:lang w:val="en-US" w:eastAsia="zh-CN"/>
        </w:rPr>
        <w:t>运行</w:t>
      </w:r>
      <w:r>
        <w:rPr>
          <w:rFonts w:hint="eastAsia" w:ascii="Times New Roman" w:hAnsi="Times New Roman" w:eastAsia="方正仿宋_GBK" w:cs="Times New Roman"/>
          <w:color w:val="auto"/>
          <w:sz w:val="32"/>
          <w:szCs w:val="32"/>
          <w:highlight w:val="none"/>
        </w:rPr>
        <w:t>等具体工作。包括组织工作站建设申请和实施，严格履行合同书约定，按时完成工作站目标任务及验收；合理合规管理使用工作站经费；及时报告工作站建设过程中的重要事项和问题；据实填报工作站建设管理所需相关材料；加强重大成果转化应用和宣传推广；自觉接受监督检查。</w:t>
      </w:r>
    </w:p>
    <w:p w14:paraId="4E7C277E">
      <w:pPr>
        <w:pStyle w:val="8"/>
        <w:spacing w:before="0" w:beforeAutospacing="0" w:after="0" w:afterAutospacing="0" w:line="560" w:lineRule="exact"/>
        <w:ind w:firstLine="620" w:firstLineChars="200"/>
        <w:jc w:val="both"/>
        <w:rPr>
          <w:rFonts w:ascii="Times New Roman" w:hAnsi="Times New Roman" w:eastAsia="方正仿宋_GBK" w:cs="Times New Roman"/>
          <w:color w:val="auto"/>
          <w:sz w:val="32"/>
          <w:szCs w:val="32"/>
          <w:highlight w:val="none"/>
          <w:lang w:bidi="ar"/>
        </w:rPr>
      </w:pPr>
      <w:r>
        <w:rPr>
          <w:rFonts w:hint="eastAsia" w:ascii="黑体" w:eastAsia="黑体" w:cs="黑体"/>
          <w:color w:val="auto"/>
          <w:sz w:val="31"/>
          <w:szCs w:val="31"/>
          <w:highlight w:val="none"/>
          <w:lang w:bidi="ar"/>
        </w:rPr>
        <w:t>第十条</w:t>
      </w:r>
      <w:r>
        <w:rPr>
          <w:rFonts w:hint="eastAsia" w:ascii="Times New Roman" w:hAnsi="Times New Roman" w:eastAsia="方正仿宋_GBK" w:cs="Times New Roman"/>
          <w:color w:val="auto"/>
          <w:sz w:val="32"/>
          <w:szCs w:val="32"/>
          <w:highlight w:val="none"/>
          <w:lang w:bidi="ar"/>
        </w:rPr>
        <w:t xml:space="preserve">  院士专家的主要职责：</w:t>
      </w:r>
    </w:p>
    <w:p w14:paraId="26B0ECA9">
      <w:pPr>
        <w:pStyle w:val="8"/>
        <w:spacing w:before="0" w:beforeAutospacing="0" w:after="0" w:afterAutospacing="0" w:line="560" w:lineRule="exact"/>
        <w:ind w:firstLine="640" w:firstLineChars="200"/>
        <w:jc w:val="both"/>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（一）开展联合科技攻关，解决重大关键科技难题，共同研发新技术、新方法、新产品、新设备，培育新品种等；</w:t>
      </w:r>
    </w:p>
    <w:p w14:paraId="68BF669E">
      <w:pPr>
        <w:pStyle w:val="8"/>
        <w:spacing w:before="0" w:beforeAutospacing="0" w:after="0" w:afterAutospacing="0" w:line="560" w:lineRule="exact"/>
        <w:ind w:firstLine="640" w:firstLineChars="200"/>
        <w:jc w:val="both"/>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（二）加速科技成果在云南转化和产业化，开展科技成果应用示范，推广先进实用技术，实施科技惠民行动；</w:t>
      </w:r>
    </w:p>
    <w:p w14:paraId="551BCA40">
      <w:pPr>
        <w:pStyle w:val="8"/>
        <w:spacing w:before="0" w:beforeAutospacing="0" w:after="0" w:afterAutospacing="0" w:line="560" w:lineRule="exact"/>
        <w:ind w:firstLine="640" w:firstLineChars="200"/>
        <w:jc w:val="both"/>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（三）搭建合作创新平台，获取知识产权，争取国家或省级科技项目支持，在权威学术刊物上发表论文，出版科技著作，培养科技创新人才，提升建站单位的创新能力和人才队伍的创新水平；</w:t>
      </w:r>
    </w:p>
    <w:p w14:paraId="0241C447">
      <w:pPr>
        <w:pStyle w:val="8"/>
        <w:spacing w:before="0" w:beforeAutospacing="0" w:after="0" w:afterAutospacing="0" w:line="560" w:lineRule="exact"/>
        <w:ind w:firstLine="640" w:firstLineChars="200"/>
        <w:jc w:val="both"/>
        <w:rPr>
          <w:rFonts w:ascii="fansong" w:hAnsi="fansong" w:eastAsia="fansong" w:cs="fansong"/>
          <w:color w:val="auto"/>
          <w:sz w:val="31"/>
          <w:szCs w:val="31"/>
          <w:highlight w:val="none"/>
        </w:rPr>
      </w:pPr>
      <w:r>
        <w:rPr>
          <w:rFonts w:hint="eastAsia" w:ascii="Times New Roman" w:hAnsi="Times New Roman" w:eastAsia="方正仿宋_GBK" w:cs="Times New Roman"/>
          <w:color w:val="auto"/>
          <w:sz w:val="32"/>
          <w:szCs w:val="32"/>
          <w:highlight w:val="none"/>
        </w:rPr>
        <w:t>（四）弘扬科学精神、传播科学思想、倡导先进科学文化、营造科技创新氛围，组织开展学术交流和科技培训活动。</w:t>
      </w:r>
      <w:r>
        <w:rPr>
          <w:rFonts w:ascii="fansong" w:hAnsi="fansong" w:eastAsia="fansong" w:cs="fansong"/>
          <w:color w:val="auto"/>
          <w:sz w:val="31"/>
          <w:szCs w:val="31"/>
          <w:highlight w:val="none"/>
        </w:rPr>
        <w:t> </w:t>
      </w:r>
    </w:p>
    <w:p w14:paraId="6E8F7F55">
      <w:pPr>
        <w:snapToGrid w:val="0"/>
        <w:spacing w:line="560" w:lineRule="exact"/>
        <w:jc w:val="center"/>
        <w:rPr>
          <w:rFonts w:ascii="方正黑体_GBK" w:hAnsi="方正黑体_GBK" w:eastAsia="方正黑体_GBK" w:cs="方正黑体_GBK"/>
          <w:color w:val="auto"/>
          <w:kern w:val="0"/>
          <w:szCs w:val="32"/>
          <w:highlight w:val="none"/>
        </w:rPr>
      </w:pPr>
    </w:p>
    <w:p w14:paraId="150EBB57">
      <w:pPr>
        <w:pStyle w:val="8"/>
        <w:spacing w:before="0" w:beforeAutospacing="0" w:after="0" w:afterAutospacing="0" w:line="560" w:lineRule="exact"/>
        <w:jc w:val="center"/>
        <w:rPr>
          <w:rFonts w:hint="eastAsia" w:ascii="黑体" w:eastAsia="黑体" w:cs="黑体"/>
          <w:color w:val="auto"/>
          <w:sz w:val="31"/>
          <w:szCs w:val="31"/>
          <w:highlight w:val="none"/>
        </w:rPr>
      </w:pPr>
      <w:r>
        <w:rPr>
          <w:rFonts w:hint="eastAsia" w:ascii="黑体" w:eastAsia="黑体" w:cs="黑体"/>
          <w:color w:val="auto"/>
          <w:sz w:val="31"/>
          <w:szCs w:val="31"/>
          <w:highlight w:val="none"/>
        </w:rPr>
        <w:t>第三章  申报认定</w:t>
      </w:r>
    </w:p>
    <w:p w14:paraId="0E8FA23D">
      <w:pPr>
        <w:snapToGrid w:val="0"/>
        <w:spacing w:line="560" w:lineRule="exact"/>
        <w:ind w:firstLine="422" w:firstLineChars="200"/>
        <w:rPr>
          <w:rFonts w:eastAsia="方正仿宋_GBK"/>
          <w:b/>
          <w:bCs/>
          <w:color w:val="auto"/>
          <w:kern w:val="0"/>
          <w:szCs w:val="32"/>
          <w:highlight w:val="none"/>
        </w:rPr>
      </w:pPr>
    </w:p>
    <w:p w14:paraId="5AF2CCF8">
      <w:pPr>
        <w:snapToGrid w:val="0"/>
        <w:spacing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第十一条</w:t>
      </w:r>
      <w:r>
        <w:rPr>
          <w:rFonts w:eastAsia="方正仿宋_GBK"/>
          <w:color w:val="auto"/>
          <w:kern w:val="0"/>
          <w:szCs w:val="32"/>
          <w:highlight w:val="none"/>
        </w:rPr>
        <w:t> </w:t>
      </w:r>
      <w:r>
        <w:rPr>
          <w:rFonts w:hint="eastAsia" w:eastAsia="方正仿宋_GBK"/>
          <w:color w:val="auto"/>
          <w:kern w:val="0"/>
          <w:szCs w:val="32"/>
          <w:highlight w:val="none"/>
        </w:rPr>
        <w:t xml:space="preserve"> </w:t>
      </w:r>
      <w:r>
        <w:rPr>
          <w:rFonts w:hint="eastAsia" w:ascii="Times New Roman" w:hAnsi="Times New Roman" w:eastAsia="方正仿宋_GBK" w:cs="Times New Roman"/>
          <w:color w:val="auto"/>
          <w:kern w:val="0"/>
          <w:sz w:val="32"/>
          <w:szCs w:val="32"/>
          <w:highlight w:val="none"/>
          <w:lang w:val="en-US" w:eastAsia="zh-CN" w:bidi="ar"/>
        </w:rPr>
        <w:t>工作站由建站单位与院士专家及其科研团队自愿组建。申请工作站的建站单位应具备以下条件：</w:t>
      </w:r>
    </w:p>
    <w:p w14:paraId="4E650756">
      <w:pPr>
        <w:numPr>
          <w:ilvl w:val="0"/>
          <w:numId w:val="1"/>
        </w:num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具备独立法人资格的企业、高等学校、科研院所、新型研发机构、医疗机构等企事业单位；</w:t>
      </w:r>
    </w:p>
    <w:p w14:paraId="3EBEE8A9">
      <w:pPr>
        <w:numPr>
          <w:ilvl w:val="0"/>
          <w:numId w:val="1"/>
        </w:num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社会信用记录和经营运行状况良好。具备较强研发能力，有专门的研发机构和研发团队；</w:t>
      </w:r>
    </w:p>
    <w:p w14:paraId="45596A67">
      <w:pPr>
        <w:numPr>
          <w:ilvl w:val="0"/>
          <w:numId w:val="1"/>
        </w:num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与相关领域院士专家具有稳定的合作基础。已与院士专家及其科研团队签订了3年（含）以上的合作协议，双方权利义务明确，知识产权归属明晰；</w:t>
      </w:r>
    </w:p>
    <w:p w14:paraId="64D83654">
      <w:pPr>
        <w:pStyle w:val="8"/>
        <w:spacing w:before="0" w:beforeAutospacing="0" w:after="0" w:afterAutospacing="0" w:line="56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rPr>
        <w:t>（四）与院士专家及其科研团队有明确的、实质性的科技研发或成果转化合作任务和稳定的经费支持，能为院士专家进站工作提供必要的科研、生活条件及其他保障</w:t>
      </w:r>
      <w:r>
        <w:rPr>
          <w:rFonts w:hint="eastAsia" w:ascii="Times New Roman" w:hAnsi="Times New Roman" w:eastAsia="方正仿宋_GBK" w:cs="Times New Roman"/>
          <w:color w:val="auto"/>
          <w:sz w:val="32"/>
          <w:szCs w:val="32"/>
          <w:highlight w:val="none"/>
          <w:lang w:eastAsia="zh-CN"/>
        </w:rPr>
        <w:t>；</w:t>
      </w:r>
    </w:p>
    <w:p w14:paraId="422C4678">
      <w:pPr>
        <w:pStyle w:val="8"/>
        <w:spacing w:before="0" w:beforeAutospacing="0" w:after="0" w:afterAutospacing="0" w:line="56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（五）同等条件下，优先支持建有重点实验室等研发平台和承担国家或省级重大科技创新项目的企业；鼓励高等</w:t>
      </w:r>
      <w:r>
        <w:rPr>
          <w:rFonts w:hint="eastAsia" w:ascii="Times New Roman" w:hAnsi="Times New Roman" w:eastAsia="方正仿宋_GBK" w:cs="Times New Roman"/>
          <w:color w:val="auto"/>
          <w:sz w:val="32"/>
          <w:szCs w:val="32"/>
          <w:highlight w:val="none"/>
          <w:lang w:val="en-US" w:eastAsia="zh-CN"/>
        </w:rPr>
        <w:t>学</w:t>
      </w:r>
      <w:r>
        <w:rPr>
          <w:rFonts w:hint="eastAsia" w:ascii="Times New Roman" w:hAnsi="Times New Roman" w:eastAsia="方正仿宋_GBK" w:cs="Times New Roman"/>
          <w:color w:val="auto"/>
          <w:sz w:val="32"/>
          <w:szCs w:val="32"/>
          <w:highlight w:val="none"/>
          <w:lang w:eastAsia="zh-CN"/>
        </w:rPr>
        <w:t>校、科研院所、新型研发机构与企业合作申报，开展科技成果的转化应用；鼓励申请建站的医疗机构，引进先进临床医疗技术方法并转化临床应用，围绕患者开展医疗技术服务和医疗产品研发。</w:t>
      </w:r>
    </w:p>
    <w:p w14:paraId="3E03F3DC">
      <w:pPr>
        <w:snapToGrid w:val="0"/>
        <w:spacing w:line="560" w:lineRule="exact"/>
        <w:ind w:firstLine="620" w:firstLineChars="200"/>
        <w:rPr>
          <w:rFonts w:eastAsia="方正仿宋_GBK"/>
          <w:color w:val="auto"/>
          <w:kern w:val="0"/>
          <w:szCs w:val="32"/>
          <w:highlight w:val="none"/>
        </w:rPr>
      </w:pPr>
      <w:r>
        <w:rPr>
          <w:rFonts w:hint="eastAsia" w:ascii="黑体" w:hAnsi="宋体" w:eastAsia="黑体" w:cs="黑体"/>
          <w:color w:val="auto"/>
          <w:kern w:val="0"/>
          <w:sz w:val="31"/>
          <w:szCs w:val="31"/>
          <w:highlight w:val="none"/>
          <w:lang w:bidi="ar"/>
        </w:rPr>
        <w:t>第十二条</w:t>
      </w:r>
      <w:r>
        <w:rPr>
          <w:rFonts w:hint="eastAsia" w:ascii="黑体" w:hAnsi="宋体" w:eastAsia="黑体" w:cs="黑体"/>
          <w:color w:val="auto"/>
          <w:kern w:val="0"/>
          <w:sz w:val="31"/>
          <w:szCs w:val="31"/>
          <w:highlight w:val="none"/>
          <w:lang w:val="en-US" w:eastAsia="zh-CN" w:bidi="ar"/>
        </w:rPr>
        <w:t xml:space="preserve">  </w:t>
      </w:r>
      <w:r>
        <w:rPr>
          <w:rFonts w:hint="eastAsia" w:ascii="Times New Roman" w:hAnsi="Times New Roman" w:eastAsia="方正仿宋_GBK" w:cs="Times New Roman"/>
          <w:color w:val="auto"/>
          <w:kern w:val="0"/>
          <w:sz w:val="32"/>
          <w:szCs w:val="32"/>
          <w:highlight w:val="none"/>
          <w:lang w:val="en-US" w:eastAsia="zh-CN" w:bidi="ar"/>
        </w:rPr>
        <w:t>建站单位引进的院士应具备以下条件：</w:t>
      </w:r>
    </w:p>
    <w:p w14:paraId="33D6DA49">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（一）中国科学院、中国工程院院士；</w:t>
      </w:r>
    </w:p>
    <w:p w14:paraId="52CA8206">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（二）院士年龄原则上不超过80周岁，符合每名未退休院士受聘的院士工作站不超过1个、退休院士不超过3个的相关要求。</w:t>
      </w:r>
    </w:p>
    <w:p w14:paraId="6D3E5A02">
      <w:pPr>
        <w:snapToGrid w:val="0"/>
        <w:spacing w:line="560" w:lineRule="exact"/>
        <w:ind w:firstLine="620" w:firstLineChars="200"/>
        <w:rPr>
          <w:rFonts w:eastAsia="方正仿宋_GBK"/>
          <w:color w:val="auto"/>
          <w:kern w:val="0"/>
          <w:szCs w:val="32"/>
          <w:highlight w:val="none"/>
        </w:rPr>
      </w:pPr>
      <w:r>
        <w:rPr>
          <w:rFonts w:hint="eastAsia" w:ascii="黑体" w:hAnsi="宋体" w:eastAsia="黑体" w:cs="黑体"/>
          <w:color w:val="auto"/>
          <w:kern w:val="0"/>
          <w:sz w:val="31"/>
          <w:szCs w:val="31"/>
          <w:highlight w:val="none"/>
          <w:lang w:bidi="ar"/>
        </w:rPr>
        <w:t>第十三条</w:t>
      </w:r>
      <w:r>
        <w:rPr>
          <w:rFonts w:hint="eastAsia" w:ascii="黑体" w:hAnsi="宋体" w:eastAsia="黑体" w:cs="黑体"/>
          <w:color w:val="auto"/>
          <w:kern w:val="0"/>
          <w:sz w:val="31"/>
          <w:szCs w:val="31"/>
          <w:highlight w:val="none"/>
          <w:lang w:val="en-US" w:eastAsia="zh-CN" w:bidi="ar"/>
        </w:rPr>
        <w:t xml:space="preserve">  </w:t>
      </w:r>
      <w:r>
        <w:rPr>
          <w:rFonts w:hint="eastAsia" w:ascii="Times New Roman" w:hAnsi="Times New Roman" w:eastAsia="方正仿宋_GBK" w:cs="Times New Roman"/>
          <w:color w:val="auto"/>
          <w:kern w:val="0"/>
          <w:sz w:val="32"/>
          <w:szCs w:val="32"/>
          <w:highlight w:val="none"/>
          <w:lang w:val="en-US" w:eastAsia="zh-CN" w:bidi="ar"/>
        </w:rPr>
        <w:t>建站单位引进的专家应具备以下条件：</w:t>
      </w:r>
    </w:p>
    <w:p w14:paraId="6893E6F9">
      <w:pPr>
        <w:numPr>
          <w:ilvl w:val="0"/>
          <w:numId w:val="2"/>
        </w:num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在某一领域取得业内公认的重要成就，科研成果和研究水平处于国内领先；</w:t>
      </w:r>
    </w:p>
    <w:p w14:paraId="7A1C8386">
      <w:pPr>
        <w:numPr>
          <w:ilvl w:val="0"/>
          <w:numId w:val="2"/>
        </w:num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属于建站单位亟需紧缺，短期内无法培养；</w:t>
      </w:r>
    </w:p>
    <w:p w14:paraId="063DED7B">
      <w:pPr>
        <w:numPr>
          <w:ilvl w:val="0"/>
          <w:numId w:val="2"/>
        </w:num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专家年龄原则上不超过70周岁。</w:t>
      </w:r>
    </w:p>
    <w:p w14:paraId="3AC97794">
      <w:pPr>
        <w:keepNext w:val="0"/>
        <w:keepLines w:val="0"/>
        <w:pageBreakBefore w:val="0"/>
        <w:widowControl/>
        <w:kinsoku/>
        <w:wordWrap/>
        <w:overflowPunct/>
        <w:topLinePunct w:val="0"/>
        <w:autoSpaceDE/>
        <w:autoSpaceDN/>
        <w:bidi w:val="0"/>
        <w:adjustRightInd/>
        <w:spacing w:line="560" w:lineRule="exact"/>
        <w:ind w:firstLine="62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第十四条</w:t>
      </w:r>
      <w:r>
        <w:rPr>
          <w:rFonts w:hint="eastAsia" w:eastAsia="方正仿宋_GBK"/>
          <w:color w:val="auto"/>
          <w:kern w:val="0"/>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bidi="ar"/>
        </w:rPr>
        <w:t>工作站办公室负责组织专家对工作站申请材料进行评审，根据评审结果提出立项建议，按照省级科技计划项目立项审批程序报审；通过审议的报请工作站管委会审定批准。对有关前沿领域或紧缺急需的工作站，建站单位可随时提出申请，采取“一事一议”方式单独进行。</w:t>
      </w:r>
    </w:p>
    <w:p w14:paraId="4940CEBF">
      <w:pPr>
        <w:keepNext w:val="0"/>
        <w:keepLines w:val="0"/>
        <w:pageBreakBefore w:val="0"/>
        <w:kinsoku/>
        <w:wordWrap/>
        <w:overflowPunct/>
        <w:topLinePunct w:val="0"/>
        <w:autoSpaceDE/>
        <w:autoSpaceDN/>
        <w:bidi w:val="0"/>
        <w:adjustRightInd/>
        <w:snapToGrid w:val="0"/>
        <w:spacing w:line="560" w:lineRule="exact"/>
        <w:ind w:firstLine="62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第十五条</w:t>
      </w:r>
      <w:r>
        <w:rPr>
          <w:rFonts w:hint="eastAsia" w:eastAsia="方正仿宋_GBK"/>
          <w:color w:val="auto"/>
          <w:szCs w:val="32"/>
          <w:highlight w:val="none"/>
        </w:rPr>
        <w:t xml:space="preserve"> </w:t>
      </w:r>
      <w:r>
        <w:rPr>
          <w:rFonts w:hint="eastAsia" w:eastAsia="方正仿宋_GBK"/>
          <w:color w:val="auto"/>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bidi="ar"/>
        </w:rPr>
        <w:t>对工作站进行立项评审，择优批准建设。对通过批准建设的工作站，将以院士专家姓名统一命名为“云南省XX院士工作站”或“云南省XX专家工作站”。</w:t>
      </w:r>
    </w:p>
    <w:p w14:paraId="2F8C792B">
      <w:pPr>
        <w:pStyle w:val="8"/>
        <w:spacing w:before="0" w:beforeAutospacing="0" w:after="0" w:afterAutospacing="0" w:line="560" w:lineRule="exact"/>
        <w:jc w:val="both"/>
        <w:rPr>
          <w:rFonts w:ascii="fansong" w:hAnsi="fansong" w:eastAsia="fansong" w:cs="fansong"/>
          <w:color w:val="auto"/>
          <w:sz w:val="31"/>
          <w:szCs w:val="31"/>
          <w:highlight w:val="none"/>
        </w:rPr>
      </w:pPr>
    </w:p>
    <w:p w14:paraId="131D23B5">
      <w:pPr>
        <w:pStyle w:val="8"/>
        <w:spacing w:before="0" w:beforeAutospacing="0" w:after="0" w:afterAutospacing="0" w:line="560" w:lineRule="exact"/>
        <w:jc w:val="center"/>
        <w:rPr>
          <w:rFonts w:hint="eastAsia" w:ascii="黑体" w:eastAsia="黑体" w:cs="黑体"/>
          <w:color w:val="auto"/>
          <w:sz w:val="31"/>
          <w:szCs w:val="31"/>
          <w:highlight w:val="none"/>
        </w:rPr>
      </w:pPr>
      <w:r>
        <w:rPr>
          <w:rFonts w:hint="eastAsia" w:ascii="黑体" w:eastAsia="黑体" w:cs="黑体"/>
          <w:color w:val="auto"/>
          <w:sz w:val="31"/>
          <w:szCs w:val="31"/>
          <w:highlight w:val="none"/>
        </w:rPr>
        <w:t>第四章 运行管理</w:t>
      </w:r>
    </w:p>
    <w:p w14:paraId="1EDD7E33">
      <w:pPr>
        <w:snapToGrid w:val="0"/>
        <w:spacing w:line="560" w:lineRule="exact"/>
        <w:ind w:firstLine="420" w:firstLineChars="200"/>
        <w:rPr>
          <w:rFonts w:eastAsia="方正仿宋_GBK"/>
          <w:color w:val="auto"/>
          <w:kern w:val="0"/>
          <w:szCs w:val="32"/>
          <w:highlight w:val="none"/>
        </w:rPr>
      </w:pPr>
    </w:p>
    <w:p w14:paraId="4C93B00E">
      <w:pPr>
        <w:numPr>
          <w:ilvl w:val="0"/>
          <w:numId w:val="0"/>
        </w:numPr>
        <w:snapToGrid w:val="0"/>
        <w:spacing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eastAsia="zh-CN" w:bidi="ar"/>
        </w:rPr>
        <w:t>第十六条</w:t>
      </w:r>
      <w:r>
        <w:rPr>
          <w:rFonts w:hint="eastAsia" w:eastAsia="方正仿宋_GBK"/>
          <w:color w:val="auto"/>
          <w:kern w:val="0"/>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bidi="ar"/>
        </w:rPr>
        <w:t>工作站建设期为3年。建设期内，建站单位要和院士专家及其科研团队完成以下主要任务：开展联合科技攻关，在新技术研发、新装备研制、新产品开发、新品种培育等方面，至少取得1项成果；加速科技成果转化，至少有1项先进科技成果在云南转化应用；培养一批高层次创新人才，提升建站单位的创新能力和人才队伍的创新水平。</w:t>
      </w:r>
    </w:p>
    <w:p w14:paraId="5DE89CB0">
      <w:pPr>
        <w:pStyle w:val="4"/>
        <w:spacing w:after="0"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w:t>
      </w:r>
      <w:r>
        <w:rPr>
          <w:rFonts w:hint="eastAsia" w:ascii="黑体" w:hAnsi="宋体" w:eastAsia="黑体" w:cs="黑体"/>
          <w:color w:val="auto"/>
          <w:kern w:val="0"/>
          <w:sz w:val="31"/>
          <w:szCs w:val="31"/>
          <w:highlight w:val="none"/>
          <w:lang w:eastAsia="zh-CN" w:bidi="ar"/>
        </w:rPr>
        <w:t>十七条</w:t>
      </w:r>
      <w:r>
        <w:rPr>
          <w:rFonts w:hint="eastAsia" w:ascii="方正仿宋_GBK" w:hAnsi="方正仿宋_GBK" w:eastAsia="方正仿宋_GBK" w:cs="方正仿宋_GBK"/>
          <w:color w:val="auto"/>
          <w:kern w:val="0"/>
          <w:szCs w:val="32"/>
          <w:highlight w:val="none"/>
        </w:rPr>
        <w:t xml:space="preserve"> </w:t>
      </w:r>
      <w:r>
        <w:rPr>
          <w:rFonts w:hint="eastAsia" w:ascii="方正仿宋_GBK" w:hAnsi="方正仿宋_GBK" w:eastAsia="方正仿宋_GBK" w:cs="方正仿宋_GBK"/>
          <w:color w:val="auto"/>
          <w:kern w:val="0"/>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bidi="ar"/>
        </w:rPr>
        <w:t>院士专家及其科研团队每年到滇进站工作的时间累计不少于3个月。建站单位负责统计院士专家及其科研团队到滇进站工作情况，并在每年度的工作站建设执行情况报告中提交相关材料。</w:t>
      </w:r>
    </w:p>
    <w:p w14:paraId="3368EE2C">
      <w:pPr>
        <w:snapToGrid w:val="0"/>
        <w:spacing w:line="560" w:lineRule="exact"/>
        <w:ind w:firstLine="620" w:firstLineChars="200"/>
        <w:rPr>
          <w:rFonts w:hint="eastAsia" w:eastAsia="方正仿宋_GBK"/>
          <w:color w:val="auto"/>
          <w:kern w:val="0"/>
          <w:szCs w:val="32"/>
          <w:highlight w:val="none"/>
          <w:lang w:val="en-US" w:eastAsia="zh-CN"/>
        </w:rPr>
      </w:pPr>
      <w:r>
        <w:rPr>
          <w:rFonts w:hint="eastAsia" w:ascii="黑体" w:hAnsi="宋体" w:eastAsia="黑体" w:cs="黑体"/>
          <w:color w:val="auto"/>
          <w:kern w:val="0"/>
          <w:sz w:val="31"/>
          <w:szCs w:val="31"/>
          <w:highlight w:val="none"/>
          <w:lang w:bidi="ar"/>
        </w:rPr>
        <w:t>第十</w:t>
      </w:r>
      <w:r>
        <w:rPr>
          <w:rFonts w:hint="eastAsia" w:ascii="黑体" w:hAnsi="宋体" w:eastAsia="黑体" w:cs="黑体"/>
          <w:color w:val="auto"/>
          <w:kern w:val="0"/>
          <w:sz w:val="31"/>
          <w:szCs w:val="31"/>
          <w:highlight w:val="none"/>
          <w:lang w:eastAsia="zh-CN" w:bidi="ar"/>
        </w:rPr>
        <w:t>八</w:t>
      </w:r>
      <w:r>
        <w:rPr>
          <w:rFonts w:hint="eastAsia" w:ascii="黑体" w:hAnsi="宋体" w:eastAsia="黑体" w:cs="黑体"/>
          <w:color w:val="auto"/>
          <w:kern w:val="0"/>
          <w:sz w:val="31"/>
          <w:szCs w:val="31"/>
          <w:highlight w:val="none"/>
          <w:lang w:bidi="ar"/>
        </w:rPr>
        <w:t xml:space="preserve">条 </w:t>
      </w:r>
      <w:r>
        <w:rPr>
          <w:rFonts w:hint="eastAsia" w:ascii="黑体" w:hAnsi="宋体" w:eastAsia="黑体" w:cs="黑体"/>
          <w:color w:val="auto"/>
          <w:kern w:val="0"/>
          <w:sz w:val="31"/>
          <w:szCs w:val="31"/>
          <w:highlight w:val="none"/>
          <w:lang w:val="en-US" w:eastAsia="zh-CN" w:bidi="ar"/>
        </w:rPr>
        <w:t xml:space="preserve"> </w:t>
      </w:r>
      <w:r>
        <w:rPr>
          <w:rFonts w:hint="eastAsia" w:ascii="Times New Roman" w:hAnsi="Times New Roman" w:eastAsia="方正仿宋_GBK" w:cs="Times New Roman"/>
          <w:color w:val="auto"/>
          <w:kern w:val="0"/>
          <w:sz w:val="32"/>
          <w:szCs w:val="32"/>
          <w:highlight w:val="none"/>
          <w:lang w:val="en-US" w:eastAsia="zh-CN" w:bidi="ar"/>
        </w:rPr>
        <w:t>工作站在实际建设过程中，合同书内容原则上不得调整。确需调整合同书内容的，按照《云南省科技计划项目管理办法》有关规定报批。</w:t>
      </w:r>
    </w:p>
    <w:p w14:paraId="234B4E5E">
      <w:pPr>
        <w:snapToGrid w:val="0"/>
        <w:spacing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第十</w:t>
      </w:r>
      <w:r>
        <w:rPr>
          <w:rFonts w:hint="eastAsia" w:ascii="黑体" w:hAnsi="宋体" w:eastAsia="黑体" w:cs="黑体"/>
          <w:color w:val="auto"/>
          <w:kern w:val="0"/>
          <w:sz w:val="31"/>
          <w:szCs w:val="31"/>
          <w:highlight w:val="none"/>
          <w:lang w:eastAsia="zh-CN" w:bidi="ar"/>
        </w:rPr>
        <w:t>九</w:t>
      </w:r>
      <w:r>
        <w:rPr>
          <w:rFonts w:hint="eastAsia" w:ascii="黑体" w:hAnsi="宋体" w:eastAsia="黑体" w:cs="黑体"/>
          <w:color w:val="auto"/>
          <w:kern w:val="0"/>
          <w:sz w:val="31"/>
          <w:szCs w:val="31"/>
          <w:highlight w:val="none"/>
          <w:lang w:bidi="ar"/>
        </w:rPr>
        <w:t>条</w:t>
      </w:r>
      <w:r>
        <w:rPr>
          <w:rFonts w:hint="eastAsia" w:eastAsia="方正仿宋_GBK"/>
          <w:color w:val="auto"/>
          <w:kern w:val="0"/>
          <w:szCs w:val="32"/>
          <w:highlight w:val="none"/>
        </w:rPr>
        <w:t xml:space="preserve">  </w:t>
      </w:r>
      <w:r>
        <w:rPr>
          <w:rFonts w:hint="eastAsia" w:ascii="Times New Roman" w:hAnsi="Times New Roman" w:eastAsia="方正仿宋_GBK" w:cs="Times New Roman"/>
          <w:color w:val="auto"/>
          <w:kern w:val="0"/>
          <w:sz w:val="32"/>
          <w:szCs w:val="32"/>
          <w:highlight w:val="none"/>
          <w:lang w:val="en-US" w:eastAsia="zh-CN" w:bidi="ar"/>
        </w:rPr>
        <w:t>工作站出现以下情形之一的，工作站管委会办公室按程序对工作站予以终止：</w:t>
      </w:r>
    </w:p>
    <w:p w14:paraId="1829A43A">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（一）院士专家及其科研团队进站工作时间未能达到规定的时间要求；</w:t>
      </w:r>
    </w:p>
    <w:p w14:paraId="4809D4BB">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（二）建站双方因特殊原因不能继续合作，经双方协商一致同意终止合作；</w:t>
      </w:r>
    </w:p>
    <w:p w14:paraId="1D265D5D">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（三）建站单位因不可抗因素或主观因素未能履行合同书任务，导致工作站无法正常运行；</w:t>
      </w:r>
    </w:p>
    <w:p w14:paraId="5BFE0C68">
      <w:pPr>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（四）中期绩效评价结果为“不合格”，且整改后仍然不合格的；</w:t>
      </w:r>
    </w:p>
    <w:p w14:paraId="50CDF9AC">
      <w:pPr>
        <w:snapToGrid w:val="0"/>
        <w:spacing w:line="560" w:lineRule="exact"/>
        <w:ind w:firstLine="640" w:firstLineChars="200"/>
        <w:rPr>
          <w:rFonts w:hint="default"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（五）其它应予以终止的情形。</w:t>
      </w:r>
    </w:p>
    <w:p w14:paraId="0D1C1211">
      <w:pPr>
        <w:pStyle w:val="22"/>
        <w:spacing w:line="560" w:lineRule="exact"/>
        <w:ind w:left="0" w:firstLine="640" w:firstLineChars="200"/>
        <w:rPr>
          <w:color w:val="auto"/>
          <w:highlight w:val="none"/>
          <w:lang w:val="en-US"/>
        </w:rPr>
      </w:pPr>
      <w:r>
        <w:rPr>
          <w:rFonts w:hint="eastAsia" w:ascii="Times New Roman" w:hAnsi="Times New Roman" w:eastAsia="方正仿宋_GBK" w:cs="Times New Roman"/>
          <w:color w:val="auto"/>
          <w:kern w:val="0"/>
          <w:sz w:val="32"/>
          <w:szCs w:val="32"/>
          <w:highlight w:val="none"/>
          <w:lang w:val="en-US"/>
        </w:rPr>
        <w:t>工作站终止后，建站单位应</w:t>
      </w:r>
      <w:r>
        <w:rPr>
          <w:rFonts w:hint="eastAsia" w:ascii="Times New Roman" w:hAnsi="Times New Roman" w:eastAsia="方正仿宋_GBK" w:cs="Times New Roman"/>
          <w:color w:val="auto"/>
          <w:kern w:val="0"/>
          <w:sz w:val="32"/>
          <w:szCs w:val="32"/>
          <w:highlight w:val="none"/>
          <w:lang w:val="en-US" w:eastAsia="zh-CN"/>
        </w:rPr>
        <w:t>当按照要求</w:t>
      </w:r>
      <w:r>
        <w:rPr>
          <w:rFonts w:hint="eastAsia" w:ascii="Times New Roman" w:hAnsi="Times New Roman" w:eastAsia="方正仿宋_GBK" w:cs="Times New Roman"/>
          <w:color w:val="auto"/>
          <w:kern w:val="0"/>
          <w:sz w:val="32"/>
          <w:szCs w:val="32"/>
          <w:highlight w:val="none"/>
          <w:lang w:val="en-US"/>
        </w:rPr>
        <w:t>及时退回</w:t>
      </w:r>
      <w:r>
        <w:rPr>
          <w:rFonts w:hint="eastAsia" w:ascii="Times New Roman" w:hAnsi="Times New Roman" w:eastAsia="方正仿宋_GBK" w:cs="Times New Roman"/>
          <w:color w:val="auto"/>
          <w:kern w:val="0"/>
          <w:sz w:val="32"/>
          <w:szCs w:val="32"/>
          <w:highlight w:val="none"/>
          <w:lang w:val="en-US" w:eastAsia="zh-CN"/>
        </w:rPr>
        <w:t>尚未使用和经审计使用不符合规定的财政</w:t>
      </w:r>
      <w:r>
        <w:rPr>
          <w:rFonts w:hint="eastAsia" w:eastAsia="方正仿宋_GBK"/>
          <w:strike w:val="0"/>
          <w:dstrike w:val="0"/>
          <w:color w:val="auto"/>
          <w:kern w:val="0"/>
          <w:szCs w:val="32"/>
          <w:highlight w:val="none"/>
          <w:lang w:eastAsia="zh-CN"/>
        </w:rPr>
        <w:t>补助</w:t>
      </w:r>
      <w:r>
        <w:rPr>
          <w:rFonts w:hint="eastAsia" w:ascii="Times New Roman" w:hAnsi="Times New Roman" w:eastAsia="方正仿宋_GBK" w:cs="Times New Roman"/>
          <w:color w:val="auto"/>
          <w:kern w:val="0"/>
          <w:sz w:val="32"/>
          <w:szCs w:val="32"/>
          <w:highlight w:val="none"/>
          <w:lang w:val="en-US" w:eastAsia="zh-CN"/>
        </w:rPr>
        <w:t>经费</w:t>
      </w:r>
      <w:r>
        <w:rPr>
          <w:rFonts w:hint="eastAsia" w:ascii="Times New Roman" w:hAnsi="Times New Roman" w:eastAsia="方正仿宋_GBK" w:cs="Times New Roman"/>
          <w:color w:val="auto"/>
          <w:kern w:val="0"/>
          <w:sz w:val="32"/>
          <w:szCs w:val="32"/>
          <w:highlight w:val="none"/>
          <w:lang w:val="en-US"/>
        </w:rPr>
        <w:t>。</w:t>
      </w:r>
    </w:p>
    <w:p w14:paraId="11A8E610">
      <w:pPr>
        <w:snapToGrid w:val="0"/>
        <w:spacing w:line="560" w:lineRule="exact"/>
        <w:ind w:firstLine="420" w:firstLineChars="200"/>
        <w:rPr>
          <w:rFonts w:eastAsia="方正仿宋_GBK"/>
          <w:color w:val="auto"/>
          <w:kern w:val="0"/>
          <w:szCs w:val="32"/>
          <w:highlight w:val="none"/>
        </w:rPr>
      </w:pPr>
    </w:p>
    <w:p w14:paraId="7150925E">
      <w:pPr>
        <w:pStyle w:val="8"/>
        <w:spacing w:before="0" w:beforeAutospacing="0" w:after="0" w:afterAutospacing="0" w:line="560" w:lineRule="exact"/>
        <w:jc w:val="center"/>
        <w:rPr>
          <w:rFonts w:hint="eastAsia" w:ascii="黑体" w:eastAsia="黑体" w:cs="黑体"/>
          <w:color w:val="auto"/>
          <w:sz w:val="31"/>
          <w:szCs w:val="31"/>
          <w:highlight w:val="none"/>
        </w:rPr>
      </w:pPr>
      <w:r>
        <w:rPr>
          <w:rFonts w:hint="eastAsia" w:ascii="黑体" w:eastAsia="黑体" w:cs="黑体"/>
          <w:color w:val="auto"/>
          <w:sz w:val="31"/>
          <w:szCs w:val="31"/>
          <w:highlight w:val="none"/>
        </w:rPr>
        <w:t> 第五章  经费支持</w:t>
      </w:r>
    </w:p>
    <w:p w14:paraId="4748D8BE">
      <w:pPr>
        <w:snapToGrid w:val="0"/>
        <w:spacing w:line="560" w:lineRule="exact"/>
        <w:ind w:firstLine="420" w:firstLineChars="200"/>
        <w:rPr>
          <w:rFonts w:eastAsia="方正仿宋_GBK"/>
          <w:color w:val="auto"/>
          <w:kern w:val="0"/>
          <w:szCs w:val="32"/>
          <w:highlight w:val="none"/>
        </w:rPr>
      </w:pPr>
    </w:p>
    <w:p w14:paraId="1AF2F9F6">
      <w:pPr>
        <w:snapToGrid w:val="0"/>
        <w:spacing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第二十条</w:t>
      </w:r>
      <w:r>
        <w:rPr>
          <w:rFonts w:hint="eastAsia" w:ascii="黑体" w:hAnsi="宋体" w:eastAsia="黑体" w:cs="黑体"/>
          <w:color w:val="auto"/>
          <w:kern w:val="0"/>
          <w:sz w:val="31"/>
          <w:szCs w:val="31"/>
          <w:highlight w:val="none"/>
          <w:lang w:val="en-US" w:eastAsia="zh-CN" w:bidi="ar"/>
        </w:rPr>
        <w:t xml:space="preserve"> </w:t>
      </w:r>
      <w:r>
        <w:rPr>
          <w:rFonts w:hint="eastAsia" w:eastAsia="方正仿宋_GBK"/>
          <w:color w:val="auto"/>
          <w:kern w:val="0"/>
          <w:szCs w:val="32"/>
          <w:highlight w:val="none"/>
        </w:rPr>
        <w:t xml:space="preserve"> </w:t>
      </w:r>
      <w:r>
        <w:rPr>
          <w:rFonts w:hint="eastAsia" w:ascii="Times New Roman" w:hAnsi="Times New Roman" w:eastAsia="方正仿宋_GBK" w:cs="Times New Roman"/>
          <w:color w:val="auto"/>
          <w:kern w:val="0"/>
          <w:sz w:val="32"/>
          <w:szCs w:val="32"/>
          <w:highlight w:val="none"/>
          <w:lang w:val="en-US" w:eastAsia="zh-CN" w:bidi="ar"/>
        </w:rPr>
        <w:t>对审定批准的工作站，每个院士工作站给予总额180万元的财政补助经费，分年度拨付；每个专家工作站给予总额90万元的财政补助经费，分年度拨付。</w:t>
      </w:r>
    </w:p>
    <w:p w14:paraId="2DB98BCE">
      <w:pPr>
        <w:pStyle w:val="8"/>
        <w:spacing w:before="0" w:beforeAutospacing="0" w:after="0" w:afterAutospacing="0" w:line="560" w:lineRule="exact"/>
        <w:ind w:firstLine="620" w:firstLineChars="200"/>
        <w:jc w:val="both"/>
        <w:rPr>
          <w:rFonts w:ascii="Times New Roman" w:hAnsi="Times New Roman" w:eastAsia="方正仿宋_GBK" w:cs="Times New Roman"/>
          <w:color w:val="auto"/>
          <w:sz w:val="32"/>
          <w:szCs w:val="32"/>
          <w:highlight w:val="none"/>
        </w:rPr>
      </w:pPr>
      <w:r>
        <w:rPr>
          <w:rFonts w:hint="eastAsia" w:ascii="黑体" w:eastAsia="黑体" w:cs="黑体"/>
          <w:color w:val="auto"/>
          <w:sz w:val="31"/>
          <w:szCs w:val="31"/>
          <w:highlight w:val="none"/>
          <w:lang w:bidi="ar"/>
        </w:rPr>
        <w:t>第二十</w:t>
      </w:r>
      <w:r>
        <w:rPr>
          <w:rFonts w:hint="eastAsia" w:ascii="黑体" w:eastAsia="黑体" w:cs="黑体"/>
          <w:color w:val="auto"/>
          <w:sz w:val="31"/>
          <w:szCs w:val="31"/>
          <w:highlight w:val="none"/>
          <w:lang w:eastAsia="zh-CN" w:bidi="ar"/>
        </w:rPr>
        <w:t>一</w:t>
      </w:r>
      <w:r>
        <w:rPr>
          <w:rFonts w:hint="eastAsia" w:ascii="黑体" w:eastAsia="黑体" w:cs="黑体"/>
          <w:color w:val="auto"/>
          <w:sz w:val="31"/>
          <w:szCs w:val="31"/>
          <w:highlight w:val="none"/>
          <w:lang w:bidi="ar"/>
        </w:rPr>
        <w:t>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工作站</w:t>
      </w:r>
      <w:r>
        <w:rPr>
          <w:rFonts w:hint="eastAsia" w:ascii="Times New Roman" w:hAnsi="Times New Roman" w:eastAsia="方正仿宋_GBK" w:cs="Times New Roman"/>
          <w:color w:val="auto"/>
          <w:sz w:val="32"/>
          <w:szCs w:val="32"/>
          <w:highlight w:val="none"/>
          <w:lang w:eastAsia="zh-CN"/>
        </w:rPr>
        <w:t>财政补助经费</w:t>
      </w:r>
      <w:r>
        <w:rPr>
          <w:rFonts w:hint="eastAsia" w:ascii="Times New Roman" w:hAnsi="Times New Roman" w:eastAsia="方正仿宋_GBK" w:cs="Times New Roman"/>
          <w:color w:val="auto"/>
          <w:sz w:val="32"/>
          <w:szCs w:val="32"/>
          <w:highlight w:val="none"/>
        </w:rPr>
        <w:t>纳入建站单位财务统一管理</w:t>
      </w:r>
      <w:r>
        <w:rPr>
          <w:rFonts w:hint="eastAsia" w:ascii="Times New Roman" w:hAnsi="Times New Roman" w:eastAsia="方正仿宋_GBK" w:cs="Times New Roman"/>
          <w:color w:val="auto"/>
          <w:sz w:val="32"/>
          <w:szCs w:val="32"/>
          <w:highlight w:val="none"/>
          <w:lang w:eastAsia="zh-CN"/>
        </w:rPr>
        <w:t>，实行</w:t>
      </w:r>
      <w:r>
        <w:rPr>
          <w:rFonts w:hint="eastAsia" w:ascii="Times New Roman" w:hAnsi="Times New Roman" w:eastAsia="方正仿宋_GBK" w:cs="Times New Roman"/>
          <w:color w:val="auto"/>
          <w:sz w:val="32"/>
          <w:szCs w:val="32"/>
          <w:highlight w:val="none"/>
        </w:rPr>
        <w:t>单独核算</w:t>
      </w:r>
      <w:r>
        <w:rPr>
          <w:rFonts w:hint="eastAsia" w:ascii="Times New Roman" w:hAnsi="Times New Roman" w:eastAsia="方正仿宋_GBK" w:cs="Times New Roman"/>
          <w:color w:val="auto"/>
          <w:sz w:val="32"/>
          <w:szCs w:val="32"/>
          <w:highlight w:val="none"/>
          <w:lang w:eastAsia="zh-CN"/>
        </w:rPr>
        <w:t>。经费</w:t>
      </w:r>
      <w:r>
        <w:rPr>
          <w:rFonts w:hint="eastAsia" w:ascii="Times New Roman" w:hAnsi="Times New Roman" w:eastAsia="方正仿宋_GBK" w:cs="Times New Roman"/>
          <w:color w:val="auto"/>
          <w:sz w:val="32"/>
          <w:szCs w:val="32"/>
          <w:highlight w:val="none"/>
        </w:rPr>
        <w:t>按照《云南省院士专家工作站财政补助经费使用管理实施细则》（云财教〔2019〕84号</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以下简称《细则》</w:t>
      </w:r>
      <w:r>
        <w:rPr>
          <w:rFonts w:hint="eastAsia" w:ascii="Times New Roman" w:hAnsi="Times New Roman" w:eastAsia="方正仿宋_GBK" w:cs="Times New Roman"/>
          <w:color w:val="auto"/>
          <w:sz w:val="32"/>
          <w:szCs w:val="32"/>
          <w:highlight w:val="none"/>
        </w:rPr>
        <w:t>）执行，以上</w:t>
      </w:r>
      <w:r>
        <w:rPr>
          <w:rFonts w:hint="eastAsia" w:ascii="Times New Roman" w:hAnsi="Times New Roman" w:eastAsia="方正仿宋_GBK" w:cs="Times New Roman"/>
          <w:color w:val="auto"/>
          <w:sz w:val="32"/>
          <w:szCs w:val="32"/>
          <w:highlight w:val="none"/>
          <w:lang w:val="en-US" w:eastAsia="zh-CN"/>
        </w:rPr>
        <w:t>《细则》中</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其它经费”</w:t>
      </w:r>
      <w:r>
        <w:rPr>
          <w:rFonts w:hint="eastAsia" w:ascii="Times New Roman" w:hAnsi="Times New Roman" w:eastAsia="方正仿宋_GBK" w:cs="Times New Roman"/>
          <w:color w:val="auto"/>
          <w:sz w:val="32"/>
          <w:szCs w:val="32"/>
          <w:highlight w:val="none"/>
        </w:rPr>
        <w:t>按照现行省</w:t>
      </w:r>
      <w:r>
        <w:rPr>
          <w:rFonts w:hint="eastAsia" w:ascii="Times New Roman" w:hAnsi="Times New Roman" w:eastAsia="方正仿宋_GBK" w:cs="Times New Roman"/>
          <w:color w:val="auto"/>
          <w:sz w:val="32"/>
          <w:szCs w:val="32"/>
          <w:highlight w:val="none"/>
          <w:lang w:eastAsia="zh-CN"/>
        </w:rPr>
        <w:t>级</w:t>
      </w:r>
      <w:r>
        <w:rPr>
          <w:rFonts w:hint="eastAsia" w:ascii="Times New Roman" w:hAnsi="Times New Roman" w:eastAsia="方正仿宋_GBK" w:cs="Times New Roman"/>
          <w:color w:val="auto"/>
          <w:sz w:val="32"/>
          <w:szCs w:val="32"/>
          <w:highlight w:val="none"/>
        </w:rPr>
        <w:t>科技计划项目资金管理办法规定执行，做到管理规范、手续完备、账目清楚、结算准确。建站单位自主选择具有资质的第三方中介机构进行验收审计，接受科技、财政、审计等部门的监督检查。</w:t>
      </w:r>
    </w:p>
    <w:p w14:paraId="10C1B216">
      <w:pPr>
        <w:pStyle w:val="8"/>
        <w:spacing w:before="0" w:beforeAutospacing="0" w:after="0" w:afterAutospacing="0" w:line="560" w:lineRule="exact"/>
        <w:jc w:val="both"/>
        <w:rPr>
          <w:rFonts w:ascii="黑体" w:eastAsia="黑体" w:cs="黑体"/>
          <w:color w:val="auto"/>
          <w:sz w:val="31"/>
          <w:szCs w:val="31"/>
          <w:highlight w:val="none"/>
        </w:rPr>
      </w:pPr>
    </w:p>
    <w:p w14:paraId="219A6057">
      <w:pPr>
        <w:pStyle w:val="8"/>
        <w:spacing w:before="0" w:beforeAutospacing="0" w:after="0" w:afterAutospacing="0" w:line="560" w:lineRule="exact"/>
        <w:jc w:val="center"/>
        <w:rPr>
          <w:rFonts w:hint="eastAsia" w:ascii="黑体" w:eastAsia="黑体" w:cs="黑体"/>
          <w:color w:val="auto"/>
          <w:sz w:val="31"/>
          <w:szCs w:val="31"/>
          <w:highlight w:val="none"/>
        </w:rPr>
      </w:pPr>
      <w:r>
        <w:rPr>
          <w:rFonts w:hint="eastAsia" w:ascii="黑体" w:eastAsia="黑体" w:cs="黑体"/>
          <w:color w:val="auto"/>
          <w:sz w:val="31"/>
          <w:szCs w:val="31"/>
          <w:highlight w:val="none"/>
        </w:rPr>
        <w:t>第六章  </w:t>
      </w:r>
      <w:r>
        <w:rPr>
          <w:rFonts w:hint="eastAsia" w:ascii="黑体" w:eastAsia="黑体" w:cs="黑体"/>
          <w:color w:val="auto"/>
          <w:sz w:val="31"/>
          <w:szCs w:val="31"/>
          <w:highlight w:val="none"/>
          <w:lang w:val="en-US" w:eastAsia="zh-CN"/>
        </w:rPr>
        <w:t>评价</w:t>
      </w:r>
      <w:r>
        <w:rPr>
          <w:rFonts w:hint="eastAsia" w:ascii="黑体" w:eastAsia="黑体" w:cs="黑体"/>
          <w:color w:val="auto"/>
          <w:sz w:val="31"/>
          <w:szCs w:val="31"/>
          <w:highlight w:val="none"/>
        </w:rPr>
        <w:t>管理</w:t>
      </w:r>
    </w:p>
    <w:p w14:paraId="03ABB595">
      <w:pPr>
        <w:snapToGrid w:val="0"/>
        <w:spacing w:line="560" w:lineRule="exact"/>
        <w:ind w:left="640" w:hanging="420" w:hangingChars="200"/>
        <w:rPr>
          <w:rFonts w:eastAsia="方正仿宋_GBK"/>
          <w:color w:val="auto"/>
          <w:kern w:val="0"/>
          <w:szCs w:val="32"/>
          <w:highlight w:val="none"/>
        </w:rPr>
      </w:pPr>
    </w:p>
    <w:p w14:paraId="2F31A9BE">
      <w:pPr>
        <w:snapToGrid w:val="0"/>
        <w:spacing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第二十</w:t>
      </w:r>
      <w:r>
        <w:rPr>
          <w:rFonts w:hint="eastAsia" w:ascii="黑体" w:hAnsi="宋体" w:eastAsia="黑体" w:cs="黑体"/>
          <w:color w:val="auto"/>
          <w:kern w:val="0"/>
          <w:sz w:val="31"/>
          <w:szCs w:val="31"/>
          <w:highlight w:val="none"/>
          <w:lang w:eastAsia="zh-CN" w:bidi="ar"/>
        </w:rPr>
        <w:t>二</w:t>
      </w:r>
      <w:r>
        <w:rPr>
          <w:rFonts w:hint="eastAsia" w:ascii="黑体" w:hAnsi="宋体" w:eastAsia="黑体" w:cs="黑体"/>
          <w:color w:val="auto"/>
          <w:kern w:val="0"/>
          <w:sz w:val="31"/>
          <w:szCs w:val="31"/>
          <w:highlight w:val="none"/>
          <w:lang w:bidi="ar"/>
        </w:rPr>
        <w:t xml:space="preserve">条  </w:t>
      </w:r>
      <w:r>
        <w:rPr>
          <w:rFonts w:hint="eastAsia" w:ascii="Times New Roman" w:hAnsi="Times New Roman" w:eastAsia="方正仿宋_GBK" w:cs="Times New Roman"/>
          <w:color w:val="auto"/>
          <w:kern w:val="0"/>
          <w:sz w:val="32"/>
          <w:szCs w:val="32"/>
          <w:highlight w:val="none"/>
          <w:lang w:val="en-US" w:eastAsia="zh-CN" w:bidi="ar"/>
        </w:rPr>
        <w:t>工作站建立绩效目标申报、绩效运行监控、绩效评价及评价结果应用的全过程绩效管理机制。</w:t>
      </w:r>
    </w:p>
    <w:p w14:paraId="7418F0C7">
      <w:pPr>
        <w:pStyle w:val="22"/>
        <w:spacing w:line="560" w:lineRule="exact"/>
        <w:ind w:left="0" w:firstLine="620" w:firstLineChars="200"/>
        <w:rPr>
          <w:rFonts w:ascii="Times New Roman" w:hAnsi="Times New Roman" w:eastAsia="方正仿宋_GBK" w:cs="Times New Roman"/>
          <w:color w:val="auto"/>
          <w:kern w:val="0"/>
          <w:sz w:val="32"/>
          <w:szCs w:val="32"/>
          <w:highlight w:val="none"/>
          <w:lang w:val="en-US"/>
        </w:rPr>
      </w:pPr>
      <w:r>
        <w:rPr>
          <w:rFonts w:hint="eastAsia" w:ascii="黑体" w:hAnsi="宋体" w:eastAsia="黑体" w:cs="黑体"/>
          <w:color w:val="auto"/>
          <w:kern w:val="0"/>
          <w:sz w:val="31"/>
          <w:szCs w:val="31"/>
          <w:highlight w:val="none"/>
          <w:lang w:val="en-US" w:bidi="ar"/>
        </w:rPr>
        <w:t>第二十</w:t>
      </w:r>
      <w:r>
        <w:rPr>
          <w:rFonts w:hint="eastAsia" w:ascii="黑体" w:hAnsi="宋体" w:eastAsia="黑体" w:cs="黑体"/>
          <w:color w:val="auto"/>
          <w:kern w:val="0"/>
          <w:sz w:val="31"/>
          <w:szCs w:val="31"/>
          <w:highlight w:val="none"/>
          <w:lang w:val="en-US" w:eastAsia="zh-CN" w:bidi="ar"/>
        </w:rPr>
        <w:t>三</w:t>
      </w:r>
      <w:r>
        <w:rPr>
          <w:rFonts w:hint="eastAsia" w:ascii="黑体" w:hAnsi="宋体" w:eastAsia="黑体" w:cs="黑体"/>
          <w:color w:val="auto"/>
          <w:kern w:val="0"/>
          <w:sz w:val="31"/>
          <w:szCs w:val="31"/>
          <w:highlight w:val="none"/>
          <w:lang w:val="en-US" w:bidi="ar"/>
        </w:rPr>
        <w:t xml:space="preserve">条  </w:t>
      </w:r>
      <w:r>
        <w:rPr>
          <w:rFonts w:hint="eastAsia" w:ascii="Times New Roman" w:hAnsi="Times New Roman" w:eastAsia="方正仿宋_GBK" w:cs="Times New Roman"/>
          <w:color w:val="auto"/>
          <w:kern w:val="0"/>
          <w:sz w:val="32"/>
          <w:szCs w:val="32"/>
          <w:highlight w:val="none"/>
          <w:lang w:val="en-US"/>
        </w:rPr>
        <w:t>建站单位在工作站申请材料中，需根据工作站建设期内达到的产出和效果，确定工作站绩效目标。工作站绩效目标主要包括工作站任务技术目标、成果产出目标、社会经济效益等内容。绩效目标通过相应的指标进行细化、量化描述，主要包括</w:t>
      </w:r>
      <w:r>
        <w:rPr>
          <w:rFonts w:hint="eastAsia" w:ascii="Times New Roman" w:hAnsi="Times New Roman" w:eastAsia="方正仿宋_GBK" w:cs="Times New Roman"/>
          <w:color w:val="auto"/>
          <w:kern w:val="0"/>
          <w:sz w:val="32"/>
          <w:szCs w:val="32"/>
          <w:highlight w:val="none"/>
          <w:lang w:val="en-US" w:eastAsia="zh-CN"/>
        </w:rPr>
        <w:t>成本指标、</w:t>
      </w:r>
      <w:r>
        <w:rPr>
          <w:rFonts w:hint="eastAsia" w:ascii="Times New Roman" w:hAnsi="Times New Roman" w:eastAsia="方正仿宋_GBK" w:cs="Times New Roman"/>
          <w:color w:val="auto"/>
          <w:kern w:val="0"/>
          <w:sz w:val="32"/>
          <w:szCs w:val="32"/>
          <w:highlight w:val="none"/>
          <w:lang w:val="en-US"/>
        </w:rPr>
        <w:t>产出指标、效益指标、满意度指标</w:t>
      </w:r>
      <w:r>
        <w:rPr>
          <w:rFonts w:hint="eastAsia" w:ascii="Times New Roman" w:hAnsi="Times New Roman" w:eastAsia="方正仿宋_GBK" w:cs="Times New Roman"/>
          <w:color w:val="auto"/>
          <w:kern w:val="0"/>
          <w:sz w:val="32"/>
          <w:szCs w:val="32"/>
          <w:highlight w:val="none"/>
          <w:lang w:val="en-US" w:eastAsia="zh-CN"/>
        </w:rPr>
        <w:t>四</w:t>
      </w:r>
      <w:r>
        <w:rPr>
          <w:rFonts w:hint="eastAsia" w:ascii="Times New Roman" w:hAnsi="Times New Roman" w:eastAsia="方正仿宋_GBK" w:cs="Times New Roman"/>
          <w:color w:val="auto"/>
          <w:kern w:val="0"/>
          <w:sz w:val="32"/>
          <w:szCs w:val="32"/>
          <w:highlight w:val="none"/>
          <w:lang w:val="en-US"/>
        </w:rPr>
        <w:t>类一级指标。</w:t>
      </w:r>
      <w:r>
        <w:rPr>
          <w:rFonts w:hint="eastAsia" w:ascii="Times New Roman" w:hAnsi="Times New Roman" w:eastAsia="方正仿宋_GBK" w:cs="Times New Roman"/>
          <w:color w:val="auto"/>
          <w:kern w:val="0"/>
          <w:sz w:val="32"/>
          <w:szCs w:val="32"/>
          <w:highlight w:val="none"/>
          <w:lang w:val="en-US" w:eastAsia="zh-CN"/>
        </w:rPr>
        <w:t>合同书中的</w:t>
      </w:r>
      <w:r>
        <w:rPr>
          <w:rFonts w:hint="eastAsia" w:ascii="Times New Roman" w:hAnsi="Times New Roman" w:eastAsia="方正仿宋_GBK" w:cs="Times New Roman"/>
          <w:color w:val="auto"/>
          <w:kern w:val="0"/>
          <w:sz w:val="32"/>
          <w:szCs w:val="32"/>
          <w:highlight w:val="none"/>
          <w:lang w:val="en-US"/>
        </w:rPr>
        <w:t>绩效目标是预算执行、绩效运行监控、绩效评价及评价结果应用的重要依据。</w:t>
      </w:r>
    </w:p>
    <w:p w14:paraId="1EF01CBD">
      <w:pPr>
        <w:pStyle w:val="22"/>
        <w:spacing w:line="560" w:lineRule="exact"/>
        <w:ind w:left="0" w:firstLine="620" w:firstLineChars="200"/>
        <w:rPr>
          <w:rFonts w:ascii="黑体" w:hAnsi="宋体" w:eastAsia="黑体" w:cs="黑体"/>
          <w:color w:val="auto"/>
          <w:kern w:val="0"/>
          <w:sz w:val="31"/>
          <w:szCs w:val="31"/>
          <w:highlight w:val="none"/>
          <w:lang w:val="en-US" w:bidi="ar"/>
        </w:rPr>
      </w:pPr>
      <w:r>
        <w:rPr>
          <w:rFonts w:hint="eastAsia" w:ascii="黑体" w:hAnsi="宋体" w:eastAsia="黑体" w:cs="黑体"/>
          <w:color w:val="auto"/>
          <w:kern w:val="0"/>
          <w:sz w:val="31"/>
          <w:szCs w:val="31"/>
          <w:highlight w:val="none"/>
          <w:lang w:val="en-US" w:bidi="ar"/>
        </w:rPr>
        <w:t>第二十</w:t>
      </w:r>
      <w:r>
        <w:rPr>
          <w:rFonts w:hint="eastAsia" w:ascii="黑体" w:hAnsi="宋体" w:eastAsia="黑体" w:cs="黑体"/>
          <w:color w:val="auto"/>
          <w:kern w:val="0"/>
          <w:sz w:val="31"/>
          <w:szCs w:val="31"/>
          <w:highlight w:val="none"/>
          <w:lang w:val="en-US" w:eastAsia="zh-CN" w:bidi="ar"/>
        </w:rPr>
        <w:t>四</w:t>
      </w:r>
      <w:r>
        <w:rPr>
          <w:rFonts w:hint="eastAsia" w:ascii="黑体" w:hAnsi="宋体" w:eastAsia="黑体" w:cs="黑体"/>
          <w:color w:val="auto"/>
          <w:kern w:val="0"/>
          <w:sz w:val="31"/>
          <w:szCs w:val="31"/>
          <w:highlight w:val="none"/>
          <w:lang w:val="en-US" w:bidi="ar"/>
        </w:rPr>
        <w:t xml:space="preserve">条  </w:t>
      </w:r>
      <w:r>
        <w:rPr>
          <w:rFonts w:hint="eastAsia" w:ascii="Times New Roman" w:hAnsi="Times New Roman" w:eastAsia="方正仿宋_GBK" w:cs="Times New Roman"/>
          <w:color w:val="auto"/>
          <w:kern w:val="0"/>
          <w:sz w:val="32"/>
          <w:szCs w:val="32"/>
          <w:highlight w:val="none"/>
          <w:lang w:val="en-US"/>
        </w:rPr>
        <w:t>在工作站建设期内，对</w:t>
      </w:r>
      <w:r>
        <w:rPr>
          <w:rFonts w:hint="eastAsia" w:ascii="Times New Roman" w:hAnsi="Times New Roman" w:eastAsia="方正仿宋_GBK" w:cs="Times New Roman"/>
          <w:color w:val="auto"/>
          <w:kern w:val="0"/>
          <w:sz w:val="32"/>
          <w:szCs w:val="32"/>
          <w:highlight w:val="none"/>
          <w:lang w:val="en-US" w:eastAsia="zh-CN"/>
        </w:rPr>
        <w:t>财政补助</w:t>
      </w:r>
      <w:r>
        <w:rPr>
          <w:rFonts w:hint="eastAsia" w:ascii="Times New Roman" w:hAnsi="Times New Roman" w:eastAsia="方正仿宋_GBK" w:cs="Times New Roman"/>
          <w:color w:val="auto"/>
          <w:kern w:val="0"/>
          <w:sz w:val="32"/>
          <w:szCs w:val="32"/>
          <w:highlight w:val="none"/>
          <w:lang w:val="en-US"/>
        </w:rPr>
        <w:t>经费预算执行进度和绩效目标实现情况进行“双监控”，通过中期绩效评价</w:t>
      </w:r>
      <w:r>
        <w:rPr>
          <w:rFonts w:hint="eastAsia" w:ascii="Times New Roman" w:hAnsi="Times New Roman" w:eastAsia="方正仿宋_GBK" w:cs="Times New Roman"/>
          <w:color w:val="auto"/>
          <w:kern w:val="0"/>
          <w:sz w:val="32"/>
          <w:szCs w:val="32"/>
          <w:highlight w:val="none"/>
          <w:lang w:val="en-US" w:eastAsia="zh-CN"/>
        </w:rPr>
        <w:t>、验收评价</w:t>
      </w:r>
      <w:r>
        <w:rPr>
          <w:rFonts w:hint="eastAsia" w:ascii="Times New Roman" w:hAnsi="Times New Roman" w:eastAsia="方正仿宋_GBK" w:cs="Times New Roman"/>
          <w:color w:val="auto"/>
          <w:kern w:val="0"/>
          <w:sz w:val="32"/>
          <w:szCs w:val="32"/>
          <w:highlight w:val="none"/>
          <w:lang w:val="en-US"/>
        </w:rPr>
        <w:t>方式实施。</w:t>
      </w:r>
    </w:p>
    <w:p w14:paraId="108B1462">
      <w:pPr>
        <w:snapToGrid w:val="0"/>
        <w:spacing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第二十</w:t>
      </w:r>
      <w:r>
        <w:rPr>
          <w:rFonts w:hint="eastAsia" w:ascii="黑体" w:hAnsi="宋体" w:eastAsia="黑体" w:cs="黑体"/>
          <w:color w:val="auto"/>
          <w:kern w:val="0"/>
          <w:sz w:val="31"/>
          <w:szCs w:val="31"/>
          <w:highlight w:val="none"/>
          <w:lang w:eastAsia="zh-CN" w:bidi="ar"/>
        </w:rPr>
        <w:t>五</w:t>
      </w:r>
      <w:r>
        <w:rPr>
          <w:rFonts w:hint="eastAsia" w:ascii="黑体" w:hAnsi="宋体" w:eastAsia="黑体" w:cs="黑体"/>
          <w:color w:val="auto"/>
          <w:kern w:val="0"/>
          <w:sz w:val="31"/>
          <w:szCs w:val="31"/>
          <w:highlight w:val="none"/>
          <w:lang w:bidi="ar"/>
        </w:rPr>
        <w:t>条</w:t>
      </w:r>
      <w:r>
        <w:rPr>
          <w:rFonts w:hint="eastAsia" w:eastAsia="方正仿宋_GBK"/>
          <w:b/>
          <w:bCs/>
          <w:color w:val="auto"/>
          <w:kern w:val="0"/>
          <w:szCs w:val="32"/>
          <w:highlight w:val="none"/>
        </w:rPr>
        <w:t xml:space="preserve"> </w:t>
      </w:r>
      <w:r>
        <w:rPr>
          <w:rFonts w:hint="eastAsia" w:eastAsia="方正仿宋_GBK"/>
          <w:b/>
          <w:bCs/>
          <w:color w:val="auto"/>
          <w:kern w:val="0"/>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bidi="ar"/>
        </w:rPr>
        <w:t>中期绩效评价按照“注重实绩、客观公正、以评促建、激励创新”的原则进行。在工作站建设一年后，由工作站办公室组织专家或委托专业机构组织实施，评价方式包括单位自评、专家审核、实地考察等。</w:t>
      </w:r>
    </w:p>
    <w:p w14:paraId="2232863C">
      <w:pPr>
        <w:snapToGrid w:val="0"/>
        <w:spacing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第二十</w:t>
      </w:r>
      <w:r>
        <w:rPr>
          <w:rFonts w:hint="eastAsia" w:ascii="黑体" w:hAnsi="宋体" w:eastAsia="黑体" w:cs="黑体"/>
          <w:color w:val="auto"/>
          <w:kern w:val="0"/>
          <w:sz w:val="31"/>
          <w:szCs w:val="31"/>
          <w:highlight w:val="none"/>
          <w:lang w:eastAsia="zh-CN" w:bidi="ar"/>
        </w:rPr>
        <w:t>六</w:t>
      </w:r>
      <w:r>
        <w:rPr>
          <w:rFonts w:hint="eastAsia" w:ascii="黑体" w:hAnsi="宋体" w:eastAsia="黑体" w:cs="黑体"/>
          <w:color w:val="auto"/>
          <w:kern w:val="0"/>
          <w:sz w:val="31"/>
          <w:szCs w:val="31"/>
          <w:highlight w:val="none"/>
          <w:lang w:bidi="ar"/>
        </w:rPr>
        <w:t>条</w:t>
      </w:r>
      <w:r>
        <w:rPr>
          <w:rFonts w:hint="eastAsia" w:eastAsia="方正仿宋_GBK"/>
          <w:color w:val="auto"/>
          <w:kern w:val="0"/>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bidi="ar"/>
        </w:rPr>
        <w:t>中期绩效评价结果分为“合格”和“不合格”。中期绩效评价结果为“不合格”的，建站单位须在收到中期绩效评价结果反馈次月起的3个月内进行整改，整改合格后继续给予支持；整改不合格的予以终止。</w:t>
      </w:r>
    </w:p>
    <w:p w14:paraId="307A836E">
      <w:pPr>
        <w:snapToGrid w:val="0"/>
        <w:spacing w:line="560" w:lineRule="exact"/>
        <w:ind w:firstLine="620" w:firstLineChars="200"/>
        <w:rPr>
          <w:rFonts w:hint="eastAsia" w:eastAsia="方正仿宋_GBK"/>
          <w:color w:val="auto"/>
          <w:kern w:val="0"/>
          <w:szCs w:val="32"/>
          <w:highlight w:val="none"/>
        </w:rPr>
      </w:pPr>
      <w:r>
        <w:rPr>
          <w:rFonts w:hint="eastAsia" w:ascii="黑体" w:hAnsi="宋体" w:eastAsia="黑体" w:cs="黑体"/>
          <w:color w:val="auto"/>
          <w:kern w:val="0"/>
          <w:sz w:val="31"/>
          <w:szCs w:val="31"/>
          <w:highlight w:val="none"/>
          <w:lang w:bidi="ar"/>
        </w:rPr>
        <w:t>第</w:t>
      </w:r>
      <w:r>
        <w:rPr>
          <w:rFonts w:hint="eastAsia" w:ascii="黑体" w:hAnsi="宋体" w:eastAsia="黑体" w:cs="黑体"/>
          <w:color w:val="auto"/>
          <w:kern w:val="0"/>
          <w:sz w:val="31"/>
          <w:szCs w:val="31"/>
          <w:highlight w:val="none"/>
          <w:lang w:eastAsia="zh-CN" w:bidi="ar"/>
        </w:rPr>
        <w:t>二</w:t>
      </w:r>
      <w:r>
        <w:rPr>
          <w:rFonts w:hint="eastAsia" w:ascii="黑体" w:hAnsi="宋体" w:eastAsia="黑体" w:cs="黑体"/>
          <w:color w:val="auto"/>
          <w:kern w:val="0"/>
          <w:sz w:val="31"/>
          <w:szCs w:val="31"/>
          <w:highlight w:val="none"/>
          <w:lang w:bidi="ar"/>
        </w:rPr>
        <w:t>十</w:t>
      </w:r>
      <w:r>
        <w:rPr>
          <w:rFonts w:hint="eastAsia" w:ascii="黑体" w:hAnsi="宋体" w:eastAsia="黑体" w:cs="黑体"/>
          <w:color w:val="auto"/>
          <w:kern w:val="0"/>
          <w:sz w:val="31"/>
          <w:szCs w:val="31"/>
          <w:highlight w:val="none"/>
          <w:lang w:eastAsia="zh-CN" w:bidi="ar"/>
        </w:rPr>
        <w:t>七</w:t>
      </w:r>
      <w:r>
        <w:rPr>
          <w:rFonts w:hint="eastAsia" w:ascii="黑体" w:hAnsi="宋体" w:eastAsia="黑体" w:cs="黑体"/>
          <w:color w:val="auto"/>
          <w:kern w:val="0"/>
          <w:sz w:val="31"/>
          <w:szCs w:val="31"/>
          <w:highlight w:val="none"/>
          <w:lang w:bidi="ar"/>
        </w:rPr>
        <w:t>条</w:t>
      </w:r>
      <w:r>
        <w:rPr>
          <w:rFonts w:hint="eastAsia" w:eastAsia="方正仿宋_GBK"/>
          <w:color w:val="auto"/>
          <w:kern w:val="0"/>
          <w:szCs w:val="32"/>
          <w:highlight w:val="none"/>
        </w:rPr>
        <w:t xml:space="preserve">  </w:t>
      </w:r>
      <w:r>
        <w:rPr>
          <w:rFonts w:hint="eastAsia" w:ascii="Times New Roman" w:hAnsi="Times New Roman" w:eastAsia="方正仿宋_GBK" w:cs="Times New Roman"/>
          <w:color w:val="auto"/>
          <w:kern w:val="0"/>
          <w:sz w:val="32"/>
          <w:szCs w:val="32"/>
          <w:highlight w:val="none"/>
          <w:lang w:val="en-US" w:eastAsia="zh-CN" w:bidi="ar"/>
        </w:rPr>
        <w:t>对建站期满的工作站开展验收评价（即为综合绩效评价）。验收评价结果包括“通过验收”（70（含）及以上）、“结题”（60（含）—70分）、“不通过验收”（60分以下）三种类型，“结题”及“不通过验收”的及时退回尚未使用和经审计使用不符合规定的财政补助经费。通过验收的工作站验收评价等级分为“优”、“良”、“中”三个等级，其中90分（含）及以上为“优”，80（含）—90分为“良”，70（含）—80分为“中”。</w:t>
      </w:r>
    </w:p>
    <w:p w14:paraId="43C49F15">
      <w:pPr>
        <w:pStyle w:val="8"/>
        <w:spacing w:before="0" w:beforeAutospacing="0" w:after="0" w:afterAutospacing="0" w:line="560" w:lineRule="exact"/>
        <w:ind w:firstLine="420"/>
        <w:jc w:val="both"/>
        <w:rPr>
          <w:rFonts w:ascii="fansong" w:hAnsi="fansong" w:eastAsia="fansong" w:cs="fansong"/>
          <w:color w:val="auto"/>
          <w:sz w:val="31"/>
          <w:szCs w:val="31"/>
          <w:highlight w:val="none"/>
        </w:rPr>
      </w:pPr>
      <w:r>
        <w:rPr>
          <w:rFonts w:ascii="fansong" w:hAnsi="fansong" w:eastAsia="fansong" w:cs="fansong"/>
          <w:color w:val="auto"/>
          <w:sz w:val="31"/>
          <w:szCs w:val="31"/>
          <w:highlight w:val="none"/>
        </w:rPr>
        <w:t> </w:t>
      </w:r>
    </w:p>
    <w:p w14:paraId="3AE56B0B">
      <w:pPr>
        <w:pStyle w:val="8"/>
        <w:spacing w:before="0" w:beforeAutospacing="0" w:after="0" w:afterAutospacing="0" w:line="560" w:lineRule="exact"/>
        <w:jc w:val="center"/>
        <w:rPr>
          <w:rFonts w:ascii="黑体" w:eastAsia="黑体" w:cs="黑体"/>
          <w:color w:val="auto"/>
          <w:sz w:val="31"/>
          <w:szCs w:val="31"/>
          <w:highlight w:val="none"/>
        </w:rPr>
      </w:pPr>
      <w:r>
        <w:rPr>
          <w:rFonts w:hint="eastAsia" w:ascii="黑体" w:eastAsia="黑体" w:cs="黑体"/>
          <w:color w:val="auto"/>
          <w:sz w:val="31"/>
          <w:szCs w:val="31"/>
          <w:highlight w:val="none"/>
        </w:rPr>
        <w:t>第七章　诚信管理</w:t>
      </w:r>
    </w:p>
    <w:p w14:paraId="129A7D7B">
      <w:pPr>
        <w:spacing w:line="560" w:lineRule="exact"/>
        <w:ind w:firstLine="420" w:firstLineChars="200"/>
        <w:rPr>
          <w:rFonts w:eastAsia="方正仿宋_GBK"/>
          <w:color w:val="auto"/>
          <w:szCs w:val="32"/>
          <w:highlight w:val="none"/>
        </w:rPr>
      </w:pPr>
    </w:p>
    <w:p w14:paraId="59EBBC08">
      <w:pPr>
        <w:spacing w:line="560" w:lineRule="exact"/>
        <w:ind w:firstLine="620" w:firstLineChars="200"/>
        <w:rPr>
          <w:rFonts w:eastAsia="方正仿宋_GBK"/>
          <w:color w:val="auto"/>
          <w:kern w:val="0"/>
          <w:szCs w:val="32"/>
          <w:highlight w:val="none"/>
        </w:rPr>
      </w:pPr>
      <w:r>
        <w:rPr>
          <w:rFonts w:hint="eastAsia" w:ascii="黑体" w:hAnsi="宋体" w:eastAsia="黑体" w:cs="黑体"/>
          <w:color w:val="auto"/>
          <w:kern w:val="0"/>
          <w:sz w:val="31"/>
          <w:szCs w:val="31"/>
          <w:highlight w:val="none"/>
          <w:lang w:bidi="ar"/>
        </w:rPr>
        <w:t>第</w:t>
      </w:r>
      <w:r>
        <w:rPr>
          <w:rFonts w:hint="eastAsia" w:ascii="黑体" w:hAnsi="宋体" w:eastAsia="黑体" w:cs="黑体"/>
          <w:color w:val="auto"/>
          <w:kern w:val="0"/>
          <w:sz w:val="31"/>
          <w:szCs w:val="31"/>
          <w:highlight w:val="none"/>
          <w:lang w:eastAsia="zh-CN" w:bidi="ar"/>
        </w:rPr>
        <w:t>二</w:t>
      </w:r>
      <w:r>
        <w:rPr>
          <w:rFonts w:hint="eastAsia" w:ascii="黑体" w:hAnsi="宋体" w:eastAsia="黑体" w:cs="黑体"/>
          <w:color w:val="auto"/>
          <w:kern w:val="0"/>
          <w:sz w:val="31"/>
          <w:szCs w:val="31"/>
          <w:highlight w:val="none"/>
          <w:lang w:bidi="ar"/>
        </w:rPr>
        <w:t>十</w:t>
      </w:r>
      <w:r>
        <w:rPr>
          <w:rFonts w:hint="eastAsia" w:ascii="黑体" w:hAnsi="宋体" w:eastAsia="黑体" w:cs="黑体"/>
          <w:color w:val="auto"/>
          <w:kern w:val="0"/>
          <w:sz w:val="31"/>
          <w:szCs w:val="31"/>
          <w:highlight w:val="none"/>
          <w:lang w:val="en-US" w:eastAsia="zh-CN" w:bidi="ar"/>
        </w:rPr>
        <w:t>八</w:t>
      </w:r>
      <w:r>
        <w:rPr>
          <w:rFonts w:hint="eastAsia" w:ascii="黑体" w:hAnsi="宋体" w:eastAsia="黑体" w:cs="黑体"/>
          <w:color w:val="auto"/>
          <w:kern w:val="0"/>
          <w:sz w:val="31"/>
          <w:szCs w:val="31"/>
          <w:highlight w:val="none"/>
          <w:lang w:bidi="ar"/>
        </w:rPr>
        <w:t>条</w:t>
      </w:r>
      <w:r>
        <w:rPr>
          <w:rFonts w:hint="eastAsia" w:eastAsia="方正仿宋_GBK"/>
          <w:color w:val="auto"/>
          <w:szCs w:val="32"/>
          <w:highlight w:val="none"/>
        </w:rPr>
        <w:t xml:space="preserve"> </w:t>
      </w:r>
      <w:r>
        <w:rPr>
          <w:rFonts w:hint="eastAsia" w:eastAsia="方正仿宋_GBK"/>
          <w:color w:val="auto"/>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bidi="ar"/>
        </w:rPr>
        <w:t>在工作站建设过程中，建站单位不落实配套条件，不履行建站合同，导致工作站建设工作无法实施和目标任务无法完成等情况的，省科技厅将其列入科研信用记录；情节特别严重属于科研严重失信行为的，阶段性或永久取消申报资格。</w:t>
      </w:r>
    </w:p>
    <w:p w14:paraId="2CF2D261">
      <w:pPr>
        <w:spacing w:line="560" w:lineRule="exact"/>
        <w:ind w:firstLine="620" w:firstLineChars="200"/>
        <w:rPr>
          <w:rFonts w:hint="eastAsia" w:ascii="Times New Roman" w:hAnsi="Times New Roman" w:eastAsia="方正仿宋_GBK" w:cs="Times New Roman"/>
          <w:color w:val="auto"/>
          <w:kern w:val="0"/>
          <w:sz w:val="32"/>
          <w:szCs w:val="32"/>
          <w:highlight w:val="none"/>
          <w:lang w:val="en-US" w:eastAsia="zh-CN" w:bidi="ar"/>
        </w:rPr>
      </w:pPr>
      <w:r>
        <w:rPr>
          <w:rFonts w:hint="eastAsia" w:ascii="黑体" w:hAnsi="宋体" w:eastAsia="黑体" w:cs="黑体"/>
          <w:color w:val="auto"/>
          <w:kern w:val="0"/>
          <w:sz w:val="31"/>
          <w:szCs w:val="31"/>
          <w:highlight w:val="none"/>
          <w:lang w:bidi="ar"/>
        </w:rPr>
        <w:t>第</w:t>
      </w:r>
      <w:r>
        <w:rPr>
          <w:rFonts w:hint="eastAsia" w:ascii="黑体" w:hAnsi="宋体" w:eastAsia="黑体" w:cs="黑体"/>
          <w:color w:val="auto"/>
          <w:kern w:val="0"/>
          <w:sz w:val="31"/>
          <w:szCs w:val="31"/>
          <w:highlight w:val="none"/>
          <w:lang w:eastAsia="zh-CN" w:bidi="ar"/>
        </w:rPr>
        <w:t>二</w:t>
      </w:r>
      <w:r>
        <w:rPr>
          <w:rFonts w:hint="eastAsia" w:ascii="黑体" w:hAnsi="宋体" w:eastAsia="黑体" w:cs="黑体"/>
          <w:color w:val="auto"/>
          <w:kern w:val="0"/>
          <w:sz w:val="31"/>
          <w:szCs w:val="31"/>
          <w:highlight w:val="none"/>
          <w:lang w:bidi="ar"/>
        </w:rPr>
        <w:t>十</w:t>
      </w:r>
      <w:r>
        <w:rPr>
          <w:rFonts w:hint="eastAsia" w:ascii="黑体" w:hAnsi="宋体" w:eastAsia="黑体" w:cs="黑体"/>
          <w:color w:val="auto"/>
          <w:kern w:val="0"/>
          <w:sz w:val="31"/>
          <w:szCs w:val="31"/>
          <w:highlight w:val="none"/>
          <w:lang w:val="en-US" w:eastAsia="zh-CN" w:bidi="ar"/>
        </w:rPr>
        <w:t>九</w:t>
      </w:r>
      <w:r>
        <w:rPr>
          <w:rFonts w:hint="eastAsia" w:ascii="黑体" w:hAnsi="宋体" w:eastAsia="黑体" w:cs="黑体"/>
          <w:color w:val="auto"/>
          <w:kern w:val="0"/>
          <w:sz w:val="31"/>
          <w:szCs w:val="31"/>
          <w:highlight w:val="none"/>
          <w:lang w:bidi="ar"/>
        </w:rPr>
        <w:t xml:space="preserve">条 </w:t>
      </w:r>
      <w:r>
        <w:rPr>
          <w:rFonts w:hint="eastAsia" w:ascii="黑体" w:hAnsi="宋体" w:eastAsia="黑体" w:cs="黑体"/>
          <w:color w:val="auto"/>
          <w:kern w:val="0"/>
          <w:sz w:val="31"/>
          <w:szCs w:val="31"/>
          <w:highlight w:val="none"/>
          <w:lang w:val="en-US" w:eastAsia="zh-CN" w:bidi="ar"/>
        </w:rPr>
        <w:t xml:space="preserve"> </w:t>
      </w:r>
      <w:r>
        <w:rPr>
          <w:rFonts w:hint="eastAsia" w:ascii="Times New Roman" w:hAnsi="Times New Roman" w:eastAsia="方正仿宋_GBK" w:cs="Times New Roman"/>
          <w:color w:val="auto"/>
          <w:kern w:val="0"/>
          <w:sz w:val="32"/>
          <w:szCs w:val="32"/>
          <w:highlight w:val="none"/>
          <w:lang w:val="en-US" w:eastAsia="zh-CN" w:bidi="ar"/>
        </w:rPr>
        <w:t>建站单位或个人以骗取财政补助经费为目的，故意伪造或者编造虚假证明材料等情形，一经查实，将依法依规严肃处理。</w:t>
      </w:r>
    </w:p>
    <w:p w14:paraId="6F3B9E38">
      <w:pPr>
        <w:pStyle w:val="8"/>
        <w:spacing w:before="0" w:beforeAutospacing="0" w:after="0" w:afterAutospacing="0" w:line="560" w:lineRule="exact"/>
        <w:jc w:val="both"/>
        <w:rPr>
          <w:rFonts w:ascii="黑体" w:eastAsia="黑体" w:cs="黑体"/>
          <w:color w:val="auto"/>
          <w:sz w:val="31"/>
          <w:szCs w:val="31"/>
          <w:highlight w:val="none"/>
        </w:rPr>
      </w:pPr>
    </w:p>
    <w:p w14:paraId="5C9CF289">
      <w:pPr>
        <w:pStyle w:val="8"/>
        <w:spacing w:before="0" w:beforeAutospacing="0" w:after="0" w:afterAutospacing="0" w:line="560" w:lineRule="exact"/>
        <w:jc w:val="center"/>
        <w:rPr>
          <w:rFonts w:ascii="fansong" w:hAnsi="fansong" w:eastAsia="fansong" w:cs="fansong"/>
          <w:color w:val="auto"/>
          <w:sz w:val="31"/>
          <w:szCs w:val="31"/>
          <w:highlight w:val="none"/>
        </w:rPr>
      </w:pPr>
      <w:r>
        <w:rPr>
          <w:rFonts w:hint="eastAsia" w:ascii="黑体" w:eastAsia="黑体" w:cs="黑体"/>
          <w:color w:val="auto"/>
          <w:sz w:val="31"/>
          <w:szCs w:val="31"/>
          <w:highlight w:val="none"/>
        </w:rPr>
        <w:t>第八章 附　则</w:t>
      </w:r>
    </w:p>
    <w:p w14:paraId="1ED67315">
      <w:pPr>
        <w:pStyle w:val="8"/>
        <w:spacing w:before="0" w:beforeAutospacing="0" w:after="0" w:afterAutospacing="0" w:line="560" w:lineRule="exact"/>
        <w:ind w:firstLine="620" w:firstLineChars="200"/>
        <w:jc w:val="both"/>
        <w:rPr>
          <w:rFonts w:ascii="黑体" w:eastAsia="黑体" w:cs="黑体"/>
          <w:color w:val="auto"/>
          <w:sz w:val="31"/>
          <w:szCs w:val="31"/>
          <w:highlight w:val="none"/>
        </w:rPr>
      </w:pPr>
      <w:r>
        <w:rPr>
          <w:rFonts w:hint="eastAsia" w:ascii="黑体" w:eastAsia="黑体" w:cs="黑体"/>
          <w:color w:val="auto"/>
          <w:sz w:val="31"/>
          <w:szCs w:val="31"/>
          <w:highlight w:val="none"/>
          <w:lang w:bidi="ar"/>
        </w:rPr>
        <w:t>第三十条</w:t>
      </w:r>
      <w:r>
        <w:rPr>
          <w:rFonts w:hint="eastAsia" w:ascii="仿宋_GB2312" w:hAnsi="fansong" w:eastAsia="仿宋_GB2312" w:cs="仿宋_GB2312"/>
          <w:color w:val="auto"/>
          <w:sz w:val="31"/>
          <w:szCs w:val="31"/>
          <w:highlight w:val="none"/>
        </w:rPr>
        <w:t>　</w:t>
      </w:r>
      <w:r>
        <w:rPr>
          <w:rFonts w:hint="eastAsia" w:ascii="Times New Roman" w:hAnsi="Times New Roman" w:eastAsia="方正仿宋_GBK" w:cs="Times New Roman"/>
          <w:color w:val="auto"/>
          <w:sz w:val="32"/>
          <w:szCs w:val="32"/>
          <w:highlight w:val="none"/>
        </w:rPr>
        <w:t>本办法由省科技厅负责解释。</w:t>
      </w:r>
    </w:p>
    <w:p w14:paraId="50B74819">
      <w:pPr>
        <w:pStyle w:val="8"/>
        <w:spacing w:before="0" w:beforeAutospacing="0" w:after="0" w:afterAutospacing="0" w:line="560" w:lineRule="exact"/>
        <w:ind w:firstLine="620" w:firstLineChars="200"/>
        <w:rPr>
          <w:color w:val="auto"/>
          <w:highlight w:val="none"/>
        </w:rPr>
      </w:pPr>
      <w:r>
        <w:rPr>
          <w:rFonts w:hint="eastAsia" w:ascii="黑体" w:eastAsia="黑体" w:cs="黑体"/>
          <w:color w:val="auto"/>
          <w:sz w:val="31"/>
          <w:szCs w:val="31"/>
          <w:highlight w:val="none"/>
        </w:rPr>
        <w:t>第三十</w:t>
      </w:r>
      <w:r>
        <w:rPr>
          <w:rFonts w:hint="eastAsia" w:ascii="黑体" w:eastAsia="黑体" w:cs="黑体"/>
          <w:color w:val="auto"/>
          <w:sz w:val="31"/>
          <w:szCs w:val="31"/>
          <w:highlight w:val="none"/>
          <w:lang w:val="en-US" w:eastAsia="zh-CN"/>
        </w:rPr>
        <w:t>一</w:t>
      </w:r>
      <w:r>
        <w:rPr>
          <w:rFonts w:hint="eastAsia" w:ascii="黑体" w:eastAsia="黑体" w:cs="黑体"/>
          <w:color w:val="auto"/>
          <w:sz w:val="31"/>
          <w:szCs w:val="31"/>
          <w:highlight w:val="none"/>
        </w:rPr>
        <w:t>条</w:t>
      </w:r>
      <w:r>
        <w:rPr>
          <w:rFonts w:hint="eastAsia" w:ascii="仿宋_GB2312" w:hAnsi="fansong" w:eastAsia="仿宋_GB2312" w:cs="仿宋_GB2312"/>
          <w:color w:val="auto"/>
          <w:sz w:val="31"/>
          <w:szCs w:val="31"/>
          <w:highlight w:val="none"/>
        </w:rPr>
        <w:t>　</w:t>
      </w:r>
      <w:r>
        <w:rPr>
          <w:rFonts w:hint="eastAsia" w:ascii="Times New Roman" w:hAnsi="Times New Roman" w:eastAsia="方正仿宋_GBK" w:cs="Times New Roman"/>
          <w:color w:val="auto"/>
          <w:sz w:val="32"/>
          <w:szCs w:val="32"/>
          <w:highlight w:val="none"/>
        </w:rPr>
        <w:t>本办法自</w:t>
      </w:r>
      <w:r>
        <w:rPr>
          <w:rFonts w:hint="eastAsia" w:ascii="Times New Roman" w:hAnsi="Times New Roman" w:eastAsia="方正仿宋_GBK" w:cs="Times New Roman"/>
          <w:color w:val="auto"/>
          <w:sz w:val="32"/>
          <w:szCs w:val="32"/>
          <w:highlight w:val="none"/>
          <w:lang w:val="en-US" w:eastAsia="zh-CN"/>
        </w:rPr>
        <w:t>2026</w:t>
      </w:r>
      <w:r>
        <w:rPr>
          <w:rFonts w:hint="eastAsia"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8</w:t>
      </w:r>
      <w:r>
        <w:rPr>
          <w:rFonts w:hint="eastAsia" w:ascii="Times New Roman" w:hAnsi="Times New Roman" w:eastAsia="方正仿宋_GBK" w:cs="Times New Roman"/>
          <w:color w:val="auto"/>
          <w:sz w:val="32"/>
          <w:szCs w:val="32"/>
          <w:highlight w:val="none"/>
        </w:rPr>
        <w:t>日起施行，有效期至</w:t>
      </w:r>
      <w:r>
        <w:rPr>
          <w:rFonts w:hint="eastAsia" w:ascii="Times New Roman" w:hAnsi="Times New Roman" w:eastAsia="方正仿宋_GBK" w:cs="Times New Roman"/>
          <w:color w:val="auto"/>
          <w:sz w:val="32"/>
          <w:szCs w:val="32"/>
          <w:highlight w:val="none"/>
          <w:lang w:val="en-US" w:eastAsia="zh-CN"/>
        </w:rPr>
        <w:t>2031</w:t>
      </w:r>
      <w:r>
        <w:rPr>
          <w:rFonts w:hint="eastAsia" w:ascii="Times New Roman" w:hAnsi="Times New Roman" w:eastAsia="方正仿宋_GBK" w:cs="Times New Roman"/>
          <w:color w:val="auto"/>
          <w:sz w:val="32"/>
          <w:szCs w:val="32"/>
          <w:highlight w:val="none"/>
        </w:rPr>
        <w:t xml:space="preserve"> 年</w:t>
      </w:r>
      <w:r>
        <w:rPr>
          <w:rFonts w:hint="eastAsia"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8</w:t>
      </w:r>
      <w:r>
        <w:rPr>
          <w:rFonts w:hint="eastAsia" w:ascii="Times New Roman" w:hAnsi="Times New Roman" w:eastAsia="方正仿宋_GBK" w:cs="Times New Roman"/>
          <w:color w:val="auto"/>
          <w:sz w:val="32"/>
          <w:szCs w:val="32"/>
          <w:highlight w:val="none"/>
        </w:rPr>
        <w:t>日。</w:t>
      </w:r>
    </w:p>
    <w:p w14:paraId="4397D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简体">
    <w:panose1 w:val="02000000000000000000"/>
    <w:charset w:val="86"/>
    <w:family w:val="script"/>
    <w:pitch w:val="default"/>
    <w:sig w:usb0="A00002BF" w:usb1="184F6CFA" w:usb2="00000012" w:usb3="00000000" w:csb0="00040001" w:csb1="00000000"/>
  </w:font>
  <w:font w:name="方正书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A00002BF" w:usb1="38CF7CFA" w:usb2="00082016" w:usb3="00000000" w:csb0="00040001" w:csb1="00000000"/>
  </w:font>
  <w:font w:name="fansong">
    <w:altName w:val="方正公文仿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A00002BF" w:usb1="38CF7CFA" w:usb2="00082016"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51A4">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C93F8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DC93F8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750C7BF8">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科学技术厅</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66614661">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1FAB">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6CFEC072">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科学技术厅行政规范性文件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F9FCF"/>
    <w:multiLevelType w:val="singleLevel"/>
    <w:tmpl w:val="82CF9FCF"/>
    <w:lvl w:ilvl="0" w:tentative="0">
      <w:start w:val="1"/>
      <w:numFmt w:val="chineseCounting"/>
      <w:suff w:val="nothing"/>
      <w:lvlText w:val="（%1）"/>
      <w:lvlJc w:val="left"/>
      <w:rPr>
        <w:rFonts w:hint="eastAsia"/>
      </w:rPr>
    </w:lvl>
  </w:abstractNum>
  <w:abstractNum w:abstractNumId="1">
    <w:nsid w:val="2EB7D20A"/>
    <w:multiLevelType w:val="singleLevel"/>
    <w:tmpl w:val="2EB7D20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WE4MThkM2E0YjIwYWQ2YzIxM2ExNzdkYTNkZTIifQ=="/>
  </w:docVars>
  <w:rsids>
    <w:rsidRoot w:val="41271887"/>
    <w:rsid w:val="03CB34A5"/>
    <w:rsid w:val="06BA219F"/>
    <w:rsid w:val="13876467"/>
    <w:rsid w:val="13B7301E"/>
    <w:rsid w:val="161377E5"/>
    <w:rsid w:val="1BE77E62"/>
    <w:rsid w:val="20EC75B1"/>
    <w:rsid w:val="2122444F"/>
    <w:rsid w:val="28202EFB"/>
    <w:rsid w:val="2AB97025"/>
    <w:rsid w:val="2C1A5D88"/>
    <w:rsid w:val="2EC57D0F"/>
    <w:rsid w:val="31A8029B"/>
    <w:rsid w:val="32CD697B"/>
    <w:rsid w:val="333746BC"/>
    <w:rsid w:val="357F4A48"/>
    <w:rsid w:val="3AE9474C"/>
    <w:rsid w:val="3CAE535E"/>
    <w:rsid w:val="3CF457D8"/>
    <w:rsid w:val="3EC57B5F"/>
    <w:rsid w:val="3F334495"/>
    <w:rsid w:val="41271887"/>
    <w:rsid w:val="43CC5F7A"/>
    <w:rsid w:val="47F5693D"/>
    <w:rsid w:val="491D214E"/>
    <w:rsid w:val="50BD4270"/>
    <w:rsid w:val="58481905"/>
    <w:rsid w:val="5ACA4BCC"/>
    <w:rsid w:val="67D57A24"/>
    <w:rsid w:val="69D33F82"/>
    <w:rsid w:val="6BF77D04"/>
    <w:rsid w:val="6EA83DAB"/>
    <w:rsid w:val="78516CF2"/>
    <w:rsid w:val="7DAD4F54"/>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Body Text"/>
    <w:basedOn w:val="1"/>
    <w:next w:val="5"/>
    <w:qFormat/>
    <w:uiPriority w:val="0"/>
    <w:pPr>
      <w:spacing w:after="140" w:line="276" w:lineRule="auto"/>
    </w:pPr>
    <w:rPr>
      <w:rFonts w:eastAsia="宋体"/>
    </w:rPr>
  </w:style>
  <w:style w:type="paragraph" w:styleId="5">
    <w:name w:val="Title"/>
    <w:basedOn w:val="1"/>
    <w:next w:val="1"/>
    <w:qFormat/>
    <w:uiPriority w:val="0"/>
    <w:pPr>
      <w:jc w:val="center"/>
      <w:outlineLvl w:val="0"/>
    </w:pPr>
    <w:rPr>
      <w:rFonts w:ascii="Arial" w:hAnsi="Arial" w:eastAsia="宋体"/>
      <w:b/>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character" w:styleId="12">
    <w:name w:val="Strong"/>
    <w:basedOn w:val="11"/>
    <w:qFormat/>
    <w:uiPriority w:val="0"/>
    <w:rPr>
      <w:b/>
    </w:rPr>
  </w:style>
  <w:style w:type="paragraph" w:customStyle="1" w:styleId="13">
    <w:name w:val="图表目录1"/>
    <w:basedOn w:val="1"/>
    <w:next w:val="1"/>
    <w:qFormat/>
    <w:uiPriority w:val="99"/>
    <w:pPr>
      <w:ind w:left="200" w:leftChars="200" w:hanging="200" w:hangingChars="200"/>
    </w:pPr>
    <w:rPr>
      <w:szCs w:val="22"/>
    </w:rPr>
  </w:style>
  <w:style w:type="paragraph" w:customStyle="1" w:styleId="14">
    <w:name w:val="Heading2"/>
    <w:basedOn w:val="1"/>
    <w:next w:val="1"/>
    <w:qFormat/>
    <w:uiPriority w:val="0"/>
    <w:pPr>
      <w:keepNext/>
      <w:keepLines/>
      <w:spacing w:line="560" w:lineRule="exact"/>
      <w:jc w:val="center"/>
      <w:textAlignment w:val="baseline"/>
    </w:pPr>
    <w:rPr>
      <w:rFonts w:ascii="Arial" w:hAnsi="Arial" w:eastAsia="方正楷体简体" w:cs="Times New Roman"/>
      <w:bCs/>
      <w:kern w:val="2"/>
      <w:sz w:val="36"/>
      <w:szCs w:val="32"/>
      <w:lang w:val="en-US" w:eastAsia="zh-CN" w:bidi="ar-SA"/>
    </w:rPr>
  </w:style>
  <w:style w:type="paragraph" w:customStyle="1" w:styleId="15">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6">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s1"/>
    <w:basedOn w:val="11"/>
    <w:qFormat/>
    <w:uiPriority w:val="0"/>
  </w:style>
  <w:style w:type="character" w:customStyle="1" w:styleId="18">
    <w:name w:val="s2"/>
    <w:basedOn w:val="11"/>
    <w:qFormat/>
    <w:uiPriority w:val="0"/>
  </w:style>
  <w:style w:type="character" w:customStyle="1" w:styleId="19">
    <w:name w:val="font61"/>
    <w:basedOn w:val="11"/>
    <w:qFormat/>
    <w:uiPriority w:val="0"/>
    <w:rPr>
      <w:rFonts w:hint="eastAsia" w:ascii="宋体" w:hAnsi="宋体" w:eastAsia="宋体" w:cs="宋体"/>
      <w:b/>
      <w:color w:val="000000"/>
      <w:sz w:val="44"/>
      <w:szCs w:val="44"/>
      <w:u w:val="none"/>
      <w:vertAlign w:val="superscript"/>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81"/>
    <w:basedOn w:val="11"/>
    <w:qFormat/>
    <w:uiPriority w:val="0"/>
    <w:rPr>
      <w:rFonts w:hint="eastAsia" w:ascii="方正仿宋_GBK" w:hAnsi="方正仿宋_GBK" w:eastAsia="方正仿宋_GBK" w:cs="方正仿宋_GBK"/>
      <w:color w:val="000000"/>
      <w:sz w:val="24"/>
      <w:szCs w:val="24"/>
      <w:u w:val="none"/>
    </w:rPr>
  </w:style>
  <w:style w:type="paragraph" w:customStyle="1" w:styleId="22">
    <w:name w:val="无间隔1"/>
    <w:basedOn w:val="9"/>
    <w:next w:val="1"/>
    <w:qFormat/>
    <w:uiPriority w:val="0"/>
    <w:pPr>
      <w:spacing w:after="0"/>
      <w:ind w:left="120"/>
    </w:pPr>
    <w:rPr>
      <w:rFonts w:ascii="仿宋_GB2312" w:hAnsi="仿宋_GB2312" w:eastAsia="仿宋_GB2312" w:cs="仿宋_GB2312"/>
      <w:sz w:val="34"/>
      <w:szCs w:val="21"/>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3867</Words>
  <Characters>3947</Characters>
  <Lines>0</Lines>
  <Paragraphs>0</Paragraphs>
  <TotalTime>6</TotalTime>
  <ScaleCrop>false</ScaleCrop>
  <LinksUpToDate>false</LinksUpToDate>
  <CharactersWithSpaces>3989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刘薇</cp:lastModifiedBy>
  <dcterms:modified xsi:type="dcterms:W3CDTF">2026-05-08T01:31:32Z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CB9B933005D542D5841B49B4832A2FE3_13</vt:lpwstr>
  </property>
  <property fmtid="{D5CDD505-2E9C-101B-9397-08002B2CF9AE}" pid="4" name="KSOTemplateDocerSaveRecord">
    <vt:lpwstr>eyJoZGlkIjoiYmM4MTMwMmY0ODVmNDYxMjc4ZDA1MGFlM2ExNmZkMjAiLCJ1c2VySWQiOiIxNjgyNTQ2NDk4In0=</vt:lpwstr>
  </property>
</Properties>
</file>